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rPr>
      </w:pPr>
      <w:r>
        <w:rPr>
          <w:sz w:val="52"/>
        </w:rPr>
        <mc:AlternateContent>
          <mc:Choice Requires="wps">
            <w:drawing>
              <wp:anchor distT="0" distB="0" distL="114300" distR="114300" simplePos="0" relativeHeight="1024" behindDoc="0" locked="0" layoutInCell="1" allowOverlap="1">
                <wp:simplePos x="0" y="0"/>
                <wp:positionH relativeFrom="column">
                  <wp:posOffset>-4429760</wp:posOffset>
                </wp:positionH>
                <wp:positionV relativeFrom="paragraph">
                  <wp:posOffset>-2322195</wp:posOffset>
                </wp:positionV>
                <wp:extent cx="635" cy="0"/>
                <wp:effectExtent l="0" t="0" r="0" b="0"/>
                <wp:wrapNone/>
                <wp:docPr id="148" name="矩形 236"/>
                <wp:cNvGraphicFramePr/>
                <a:graphic xmlns:a="http://schemas.openxmlformats.org/drawingml/2006/main">
                  <a:graphicData uri="http://schemas.microsoft.com/office/word/2010/wordprocessingShape">
                    <wps:wsp>
                      <wps:cNvSpPr/>
                      <wps:spPr>
                        <a:xfrm>
                          <a:off x="0" y="0"/>
                          <a:ext cx="635" cy="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djustRightInd w:val="0"/>
                              <w:snapToGrid w:val="0"/>
                              <w:jc w:val="center"/>
                              <w:rPr>
                                <w:szCs w:val="21"/>
                              </w:rPr>
                            </w:pPr>
                            <w:r>
                              <w:rPr>
                                <w:rFonts w:hint="eastAsia"/>
                                <w:szCs w:val="21"/>
                              </w:rPr>
                              <w:t>扎网</w:t>
                            </w:r>
                          </w:p>
                        </w:txbxContent>
                      </wps:txbx>
                      <wps:bodyPr wrap="square" lIns="0" tIns="45720" rIns="0" bIns="45720" upright="1"/>
                    </wps:wsp>
                  </a:graphicData>
                </a:graphic>
              </wp:anchor>
            </w:drawing>
          </mc:Choice>
          <mc:Fallback>
            <w:pict>
              <v:rect id="矩形 236" o:spid="_x0000_s1026" o:spt="1" style="position:absolute;left:0pt;margin-left:-348.8pt;margin-top:-182.85pt;height:0pt;width:0.05pt;z-index:1024;mso-width-relative:page;mso-height-relative:page;" fillcolor="#FFFFFF" filled="t" stroked="t" coordsize="21600,21600" o:gfxdata="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Hs7wh&#10;2QAAAA8BAAAPAAAAAAAAAAEAIAAAACIAAABkcnMvZG93bnJldi54bWxQSwECFAAUAAAACACHTuJA&#10;USlF9yACAABsBAAADgAAAAAAAAABACAAAAAoAQAAZHJzL2Uyb0RvYy54bWxQSwUGAAAAAAYABgBZ&#10;AQAAugUAAAAA&#10;">
                <v:fill on="t" focussize="0,0"/>
                <v:stroke color="#000000" joinstyle="miter"/>
                <v:imagedata o:title=""/>
                <o:lock v:ext="edit" aspectratio="f"/>
                <v:textbox inset="0mm,1.27mm,0mm,1.27mm">
                  <w:txbxContent>
                    <w:p>
                      <w:pPr>
                        <w:adjustRightInd w:val="0"/>
                        <w:snapToGrid w:val="0"/>
                        <w:jc w:val="center"/>
                        <w:rPr>
                          <w:szCs w:val="21"/>
                        </w:rPr>
                      </w:pPr>
                      <w:r>
                        <w:rPr>
                          <w:rFonts w:hint="eastAsia"/>
                          <w:szCs w:val="21"/>
                        </w:rPr>
                        <w:t>扎网</w:t>
                      </w:r>
                    </w:p>
                  </w:txbxContent>
                </v:textbox>
              </v:rect>
            </w:pict>
          </mc:Fallback>
        </mc:AlternateContent>
      </w:r>
    </w:p>
    <w:p>
      <w:pPr>
        <w:jc w:val="center"/>
        <w:rPr>
          <w:b/>
          <w:sz w:val="52"/>
        </w:rPr>
      </w:pPr>
    </w:p>
    <w:p>
      <w:pPr>
        <w:jc w:val="center"/>
        <w:rPr>
          <w:b/>
          <w:sz w:val="52"/>
        </w:rPr>
      </w:pPr>
    </w:p>
    <w:p>
      <w:pPr>
        <w:jc w:val="center"/>
        <w:rPr>
          <w:b/>
          <w:spacing w:val="30"/>
          <w:sz w:val="52"/>
          <w:szCs w:val="52"/>
        </w:rPr>
      </w:pPr>
      <w:r>
        <w:rPr>
          <w:b/>
          <w:spacing w:val="30"/>
          <w:sz w:val="52"/>
          <w:szCs w:val="52"/>
        </w:rPr>
        <w:t>建设项目环境影响报告表</w:t>
      </w:r>
    </w:p>
    <w:p>
      <w:pPr>
        <w:spacing w:beforeLines="50"/>
        <w:jc w:val="center"/>
        <w:rPr>
          <w:sz w:val="36"/>
          <w:szCs w:val="36"/>
        </w:rPr>
      </w:pPr>
    </w:p>
    <w:p>
      <w:pPr>
        <w:spacing w:line="360" w:lineRule="auto"/>
        <w:rPr>
          <w:sz w:val="36"/>
          <w:u w:val="single"/>
        </w:rPr>
      </w:pPr>
    </w:p>
    <w:p>
      <w:pPr>
        <w:pStyle w:val="2"/>
        <w:rPr>
          <w:sz w:val="36"/>
          <w:u w:val="single"/>
        </w:rPr>
      </w:pPr>
    </w:p>
    <w:p>
      <w:pPr>
        <w:rPr>
          <w:sz w:val="36"/>
          <w:u w:val="single"/>
        </w:rPr>
      </w:pPr>
    </w:p>
    <w:p>
      <w:pPr>
        <w:pStyle w:val="2"/>
        <w:rPr>
          <w:sz w:val="36"/>
          <w:u w:val="single"/>
        </w:rPr>
      </w:pPr>
    </w:p>
    <w:p/>
    <w:p>
      <w:pPr>
        <w:spacing w:line="360" w:lineRule="auto"/>
        <w:rPr>
          <w:sz w:val="36"/>
          <w:u w:val="single"/>
        </w:rPr>
      </w:pPr>
    </w:p>
    <w:p>
      <w:pPr>
        <w:tabs>
          <w:tab w:val="left" w:pos="3300"/>
        </w:tabs>
        <w:spacing w:line="360" w:lineRule="auto"/>
        <w:ind w:left="2236" w:leftChars="300" w:hanging="1606" w:hangingChars="500"/>
        <w:rPr>
          <w:rFonts w:hint="eastAsia" w:cs="Times New Roman"/>
          <w:b/>
          <w:bCs/>
          <w:sz w:val="32"/>
          <w:szCs w:val="32"/>
          <w:u w:val="single"/>
          <w:lang w:val="en-US" w:eastAsia="zh-CN"/>
        </w:rPr>
      </w:pPr>
      <w:r>
        <w:rPr>
          <w:rFonts w:hint="eastAsia"/>
          <w:b/>
          <w:sz w:val="32"/>
          <w:szCs w:val="32"/>
        </w:rPr>
        <w:t>项目名称：</w:t>
      </w:r>
      <w:r>
        <w:rPr>
          <w:b/>
          <w:sz w:val="32"/>
          <w:szCs w:val="32"/>
          <w:u w:val="single"/>
        </w:rPr>
        <w:t xml:space="preserve">  </w:t>
      </w:r>
      <w:r>
        <w:rPr>
          <w:rFonts w:hint="eastAsia"/>
          <w:b/>
          <w:sz w:val="32"/>
          <w:szCs w:val="32"/>
          <w:u w:val="single"/>
          <w:lang w:val="en-US" w:eastAsia="zh-CN"/>
        </w:rPr>
        <w:t xml:space="preserve">    </w:t>
      </w:r>
      <w:r>
        <w:rPr>
          <w:rFonts w:hint="eastAsia" w:cs="Times New Roman"/>
          <w:b/>
          <w:bCs/>
          <w:sz w:val="32"/>
          <w:szCs w:val="32"/>
          <w:u w:val="single"/>
          <w:lang w:val="en-US" w:eastAsia="zh-CN"/>
        </w:rPr>
        <w:t xml:space="preserve">平顶山市定坤水泥制品有限公司         </w:t>
      </w:r>
    </w:p>
    <w:p>
      <w:pPr>
        <w:tabs>
          <w:tab w:val="left" w:pos="3300"/>
        </w:tabs>
        <w:spacing w:line="360" w:lineRule="auto"/>
        <w:ind w:left="2226" w:leftChars="1060" w:firstLine="0" w:firstLineChars="0"/>
        <w:rPr>
          <w:b/>
          <w:sz w:val="32"/>
          <w:szCs w:val="32"/>
          <w:u w:val="single"/>
        </w:rPr>
      </w:pPr>
      <w:r>
        <w:rPr>
          <w:rFonts w:hint="eastAsia" w:cs="Times New Roman"/>
          <w:b/>
          <w:bCs/>
          <w:sz w:val="32"/>
          <w:szCs w:val="32"/>
          <w:u w:val="single"/>
          <w:lang w:val="en-US" w:eastAsia="zh-CN"/>
        </w:rPr>
        <w:t xml:space="preserve">          生产，加工水泥制品项目</w:t>
      </w:r>
      <w:r>
        <w:rPr>
          <w:b/>
          <w:sz w:val="32"/>
          <w:szCs w:val="32"/>
          <w:u w:val="single"/>
        </w:rPr>
        <w:t xml:space="preserve">  </w:t>
      </w:r>
      <w:r>
        <w:rPr>
          <w:rFonts w:hint="eastAsia"/>
          <w:b/>
          <w:sz w:val="32"/>
          <w:szCs w:val="32"/>
          <w:u w:val="single"/>
          <w:lang w:val="en-US" w:eastAsia="zh-CN"/>
        </w:rPr>
        <w:t xml:space="preserve">       </w:t>
      </w:r>
      <w:r>
        <w:rPr>
          <w:rFonts w:hint="eastAsia"/>
          <w:b/>
          <w:sz w:val="32"/>
          <w:szCs w:val="32"/>
          <w:u w:val="single"/>
        </w:rPr>
        <w:t xml:space="preserve"> </w:t>
      </w:r>
      <w:r>
        <w:rPr>
          <w:b/>
          <w:sz w:val="32"/>
          <w:szCs w:val="32"/>
          <w:u w:val="single"/>
        </w:rPr>
        <w:t xml:space="preserve">   </w:t>
      </w:r>
    </w:p>
    <w:p>
      <w:pPr>
        <w:spacing w:line="360" w:lineRule="auto"/>
        <w:ind w:firstLine="643" w:firstLineChars="200"/>
        <w:rPr>
          <w:sz w:val="36"/>
          <w:u w:val="single"/>
        </w:rPr>
      </w:pPr>
      <w:r>
        <w:rPr>
          <w:rFonts w:hint="eastAsia"/>
          <w:b/>
          <w:bCs/>
          <w:sz w:val="32"/>
          <w:szCs w:val="32"/>
        </w:rPr>
        <w:t>建设单位（盖章）：</w:t>
      </w:r>
      <w:r>
        <w:rPr>
          <w:rFonts w:hint="eastAsia"/>
          <w:b/>
          <w:bCs/>
          <w:sz w:val="32"/>
          <w:szCs w:val="32"/>
          <w:u w:val="single"/>
        </w:rPr>
        <w:t xml:space="preserve">  </w:t>
      </w:r>
      <w:r>
        <w:rPr>
          <w:rFonts w:hint="eastAsia" w:cs="Times New Roman"/>
          <w:b/>
          <w:bCs/>
          <w:sz w:val="32"/>
          <w:szCs w:val="32"/>
          <w:u w:val="single"/>
          <w:lang w:val="en-US" w:eastAsia="zh-CN"/>
        </w:rPr>
        <w:t xml:space="preserve">平顶山市定坤水泥制品有限公司 </w:t>
      </w:r>
      <w:r>
        <w:rPr>
          <w:rFonts w:hint="eastAsia"/>
          <w:b/>
          <w:sz w:val="32"/>
          <w:szCs w:val="32"/>
          <w:u w:val="single"/>
          <w:lang w:val="en-US" w:eastAsia="zh-CN"/>
        </w:rPr>
        <w:t xml:space="preserve">         </w:t>
      </w:r>
      <w:r>
        <w:rPr>
          <w:rFonts w:hint="eastAsia"/>
          <w:b/>
          <w:sz w:val="32"/>
          <w:szCs w:val="32"/>
          <w:u w:val="single"/>
        </w:rPr>
        <w:t xml:space="preserve"> </w:t>
      </w:r>
      <w:r>
        <w:rPr>
          <w:b/>
          <w:sz w:val="32"/>
          <w:szCs w:val="32"/>
          <w:u w:val="single"/>
        </w:rPr>
        <w:t xml:space="preserve"> </w:t>
      </w:r>
      <w:r>
        <w:rPr>
          <w:rFonts w:hint="eastAsia"/>
          <w:b/>
          <w:sz w:val="32"/>
          <w:szCs w:val="32"/>
          <w:u w:val="single"/>
        </w:rPr>
        <w:t xml:space="preserve"> </w:t>
      </w:r>
      <w:r>
        <w:rPr>
          <w:rFonts w:hint="eastAsia"/>
          <w:b/>
          <w:sz w:val="32"/>
          <w:szCs w:val="32"/>
          <w:u w:val="single"/>
          <w:lang w:val="en-US" w:eastAsia="zh-CN"/>
        </w:rPr>
        <w:t xml:space="preserve">  </w:t>
      </w:r>
      <w:r>
        <w:rPr>
          <w:rFonts w:hint="eastAsia"/>
          <w:b/>
          <w:sz w:val="32"/>
          <w:szCs w:val="32"/>
          <w:u w:val="single"/>
        </w:rPr>
        <w:t xml:space="preserve">  </w:t>
      </w:r>
    </w:p>
    <w:p>
      <w:pPr>
        <w:spacing w:line="360" w:lineRule="auto"/>
        <w:rPr>
          <w:sz w:val="36"/>
          <w:u w:val="single"/>
        </w:rPr>
      </w:pPr>
    </w:p>
    <w:p>
      <w:pPr>
        <w:spacing w:line="360" w:lineRule="auto"/>
        <w:rPr>
          <w:sz w:val="32"/>
          <w:u w:val="single"/>
        </w:rPr>
      </w:pPr>
    </w:p>
    <w:p>
      <w:pPr>
        <w:spacing w:line="360" w:lineRule="auto"/>
        <w:rPr>
          <w:sz w:val="32"/>
          <w:u w:val="single"/>
        </w:rPr>
      </w:pPr>
    </w:p>
    <w:p>
      <w:pPr>
        <w:spacing w:line="360" w:lineRule="auto"/>
        <w:jc w:val="center"/>
        <w:rPr>
          <w:b/>
          <w:sz w:val="32"/>
        </w:rPr>
      </w:pPr>
      <w:r>
        <w:rPr>
          <w:b/>
          <w:sz w:val="32"/>
        </w:rPr>
        <w:t>编制日期: 20</w:t>
      </w:r>
      <w:r>
        <w:rPr>
          <w:rFonts w:hint="eastAsia"/>
          <w:b/>
          <w:sz w:val="32"/>
          <w:lang w:val="en-US" w:eastAsia="zh-CN"/>
        </w:rPr>
        <w:t>21</w:t>
      </w:r>
      <w:r>
        <w:rPr>
          <w:b/>
          <w:sz w:val="32"/>
        </w:rPr>
        <w:t>年</w:t>
      </w:r>
      <w:r>
        <w:rPr>
          <w:rFonts w:hint="eastAsia"/>
          <w:b/>
          <w:sz w:val="32"/>
          <w:lang w:val="en-US" w:eastAsia="zh-CN"/>
        </w:rPr>
        <w:t>2</w:t>
      </w:r>
      <w:r>
        <w:rPr>
          <w:b/>
          <w:sz w:val="32"/>
        </w:rPr>
        <w:t>月</w:t>
      </w:r>
    </w:p>
    <w:p>
      <w:pPr>
        <w:spacing w:line="360" w:lineRule="auto"/>
        <w:jc w:val="center"/>
        <w:rPr>
          <w:b/>
          <w:sz w:val="32"/>
        </w:rPr>
        <w:sectPr>
          <w:footerReference r:id="rId3" w:type="even"/>
          <w:pgSz w:w="11906" w:h="16838"/>
          <w:pgMar w:top="1701" w:right="1588" w:bottom="1985" w:left="1588" w:header="851" w:footer="992" w:gutter="0"/>
          <w:cols w:space="720" w:num="1"/>
          <w:docGrid w:type="lines" w:linePitch="312" w:charSpace="0"/>
        </w:sectPr>
      </w:pPr>
      <w:r>
        <w:rPr>
          <w:b/>
          <w:sz w:val="32"/>
        </w:rPr>
        <w:t>国家环境保护部制</w:t>
      </w:r>
    </w:p>
    <w:p>
      <w:pPr>
        <w:jc w:val="center"/>
        <w:rPr>
          <w:rFonts w:hint="default" w:ascii="Times New Roman" w:hAnsi="Times New Roman" w:cs="Times New Roman"/>
          <w:b/>
          <w:bCs/>
          <w:color w:val="auto"/>
          <w:szCs w:val="28"/>
        </w:rPr>
      </w:pPr>
      <w:r>
        <w:rPr>
          <w:rFonts w:hint="eastAsia" w:ascii="Times New Roman" w:hAnsi="Times New Roman" w:eastAsia="黑体" w:cs="Times New Roman"/>
          <w:b/>
          <w:color w:val="auto"/>
          <w:sz w:val="32"/>
          <w:szCs w:val="32"/>
          <w:lang w:eastAsia="zh-CN"/>
        </w:rPr>
        <w:t>平顶山市定坤水泥制品有限公司生产，加工水泥制品</w:t>
      </w:r>
      <w:r>
        <w:rPr>
          <w:rFonts w:hint="default" w:ascii="Times New Roman" w:hAnsi="Times New Roman" w:eastAsia="黑体" w:cs="Times New Roman"/>
          <w:b/>
          <w:color w:val="auto"/>
          <w:sz w:val="32"/>
          <w:szCs w:val="32"/>
          <w:lang w:eastAsia="zh-CN"/>
        </w:rPr>
        <w:t>项目</w:t>
      </w:r>
    </w:p>
    <w:p>
      <w:pPr>
        <w:spacing w:line="500" w:lineRule="exact"/>
        <w:jc w:val="center"/>
        <w:rPr>
          <w:rFonts w:hint="default" w:ascii="Times New Roman" w:hAnsi="Times New Roman" w:eastAsia="黑体" w:cs="Times New Roman"/>
          <w:b/>
          <w:color w:val="auto"/>
          <w:sz w:val="32"/>
          <w:szCs w:val="32"/>
        </w:rPr>
      </w:pPr>
      <w:r>
        <w:rPr>
          <w:rFonts w:hint="default" w:ascii="Times New Roman" w:hAnsi="Times New Roman" w:eastAsia="黑体" w:cs="Times New Roman"/>
          <w:b/>
          <w:color w:val="auto"/>
          <w:sz w:val="32"/>
          <w:szCs w:val="32"/>
        </w:rPr>
        <w:t>环境影响报告表修改说明</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7"/>
        <w:gridCol w:w="5374"/>
        <w:gridCol w:w="22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b/>
                <w:sz w:val="28"/>
                <w:szCs w:val="28"/>
              </w:rPr>
            </w:pPr>
            <w:r>
              <w:rPr>
                <w:rFonts w:ascii="Times New Roman" w:hAnsi="Times New Roman"/>
                <w:b/>
                <w:sz w:val="28"/>
                <w:szCs w:val="28"/>
              </w:rPr>
              <w:t>序号</w:t>
            </w:r>
          </w:p>
        </w:tc>
        <w:tc>
          <w:tcPr>
            <w:tcW w:w="5374" w:type="dxa"/>
            <w:noWrap w:val="0"/>
            <w:vAlign w:val="center"/>
          </w:tcPr>
          <w:p>
            <w:pPr>
              <w:adjustRightInd w:val="0"/>
              <w:snapToGrid w:val="0"/>
              <w:spacing w:line="240" w:lineRule="auto"/>
              <w:jc w:val="center"/>
              <w:rPr>
                <w:rFonts w:ascii="Times New Roman" w:hAnsi="Times New Roman"/>
                <w:b/>
                <w:sz w:val="28"/>
                <w:szCs w:val="28"/>
              </w:rPr>
            </w:pPr>
            <w:r>
              <w:rPr>
                <w:rFonts w:ascii="Times New Roman" w:hAnsi="Times New Roman"/>
                <w:b/>
                <w:sz w:val="28"/>
                <w:szCs w:val="28"/>
              </w:rPr>
              <w:t>评审意见</w:t>
            </w:r>
          </w:p>
        </w:tc>
        <w:tc>
          <w:tcPr>
            <w:tcW w:w="2241" w:type="dxa"/>
            <w:noWrap w:val="0"/>
            <w:vAlign w:val="center"/>
          </w:tcPr>
          <w:p>
            <w:pPr>
              <w:adjustRightInd w:val="0"/>
              <w:snapToGrid w:val="0"/>
              <w:spacing w:line="240" w:lineRule="auto"/>
              <w:jc w:val="center"/>
              <w:rPr>
                <w:rFonts w:ascii="Times New Roman" w:hAnsi="Times New Roman"/>
                <w:b/>
                <w:sz w:val="28"/>
                <w:szCs w:val="28"/>
              </w:rPr>
            </w:pPr>
            <w:r>
              <w:rPr>
                <w:rFonts w:ascii="Times New Roman" w:hAnsi="Times New Roman"/>
                <w:b/>
                <w:sz w:val="28"/>
                <w:szCs w:val="28"/>
              </w:rPr>
              <w:t>修改说明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sz w:val="28"/>
                <w:szCs w:val="28"/>
              </w:rPr>
            </w:pPr>
            <w:r>
              <w:rPr>
                <w:rFonts w:ascii="Times New Roman" w:hAnsi="Times New Roman"/>
                <w:sz w:val="28"/>
                <w:szCs w:val="28"/>
              </w:rPr>
              <w:t>1</w:t>
            </w:r>
          </w:p>
        </w:tc>
        <w:tc>
          <w:tcPr>
            <w:tcW w:w="5374" w:type="dxa"/>
            <w:noWrap w:val="0"/>
            <w:vAlign w:val="center"/>
          </w:tcPr>
          <w:p>
            <w:pPr>
              <w:adjustRightInd w:val="0"/>
              <w:snapToGrid w:val="0"/>
              <w:spacing w:line="240" w:lineRule="auto"/>
              <w:rPr>
                <w:rFonts w:hint="eastAsia" w:ascii="Times New Roman" w:hAnsi="Times New Roman" w:eastAsia="宋体"/>
                <w:color w:val="auto"/>
                <w:sz w:val="28"/>
                <w:szCs w:val="28"/>
                <w:lang w:eastAsia="zh-CN"/>
              </w:rPr>
            </w:pPr>
            <w:r>
              <w:rPr>
                <w:rFonts w:hint="eastAsia" w:ascii="宋体" w:hAnsi="宋体" w:eastAsia="宋体" w:cs="宋体"/>
                <w:color w:val="auto"/>
                <w:sz w:val="28"/>
              </w:rPr>
              <w:t>完善项目所在地周边环境现状调查内容。</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见报告P</w:t>
            </w:r>
            <w:r>
              <w:rPr>
                <w:rFonts w:hint="eastAsia" w:cs="Times New Roman"/>
                <w:color w:val="auto"/>
                <w:sz w:val="28"/>
                <w:szCs w:val="28"/>
                <w:lang w:val="en-US" w:eastAsia="zh-CN"/>
              </w:rPr>
              <w:t>3</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sz w:val="28"/>
                <w:szCs w:val="28"/>
              </w:rPr>
            </w:pPr>
            <w:r>
              <w:rPr>
                <w:rFonts w:ascii="Times New Roman" w:hAnsi="Times New Roman"/>
                <w:sz w:val="28"/>
                <w:szCs w:val="28"/>
              </w:rPr>
              <w:t>2</w:t>
            </w:r>
          </w:p>
        </w:tc>
        <w:tc>
          <w:tcPr>
            <w:tcW w:w="5374" w:type="dxa"/>
            <w:noWrap w:val="0"/>
            <w:vAlign w:val="center"/>
          </w:tcPr>
          <w:p>
            <w:pPr>
              <w:adjustRightInd w:val="0"/>
              <w:snapToGrid w:val="0"/>
              <w:spacing w:line="240" w:lineRule="auto"/>
              <w:rPr>
                <w:rFonts w:ascii="Times New Roman" w:hAnsi="Times New Roman"/>
                <w:sz w:val="28"/>
                <w:szCs w:val="28"/>
              </w:rPr>
            </w:pPr>
            <w:r>
              <w:rPr>
                <w:rFonts w:hint="eastAsia" w:ascii="宋体" w:hAnsi="宋体" w:eastAsia="宋体" w:cs="宋体"/>
                <w:sz w:val="28"/>
              </w:rPr>
              <w:t>结合环境攻坚战相关要求，强化施工期污染防治措施。</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FF0000"/>
                <w:sz w:val="28"/>
                <w:szCs w:val="28"/>
              </w:rPr>
            </w:pPr>
            <w:r>
              <w:rPr>
                <w:rFonts w:hint="default" w:ascii="Times New Roman" w:hAnsi="Times New Roman" w:eastAsia="宋体" w:cs="Times New Roman"/>
                <w:color w:val="auto"/>
                <w:sz w:val="28"/>
                <w:szCs w:val="28"/>
              </w:rPr>
              <w:t>见报告P</w:t>
            </w:r>
            <w:r>
              <w:rPr>
                <w:rFonts w:hint="eastAsia" w:cs="Times New Roman"/>
                <w:color w:val="auto"/>
                <w:sz w:val="28"/>
                <w:szCs w:val="28"/>
                <w:lang w:val="en-US" w:eastAsia="zh-CN"/>
              </w:rPr>
              <w:t>42</w:t>
            </w:r>
            <w:r>
              <w:rPr>
                <w:rFonts w:hint="eastAsia" w:ascii="Times New Roman" w:hAnsi="Times New Roman" w:eastAsia="宋体" w:cs="Times New Roman"/>
                <w:color w:val="auto"/>
                <w:sz w:val="28"/>
                <w:szCs w:val="28"/>
                <w:lang w:val="en-US" w:eastAsia="zh-CN"/>
              </w:rPr>
              <w:t>-</w:t>
            </w:r>
            <w:r>
              <w:rPr>
                <w:rFonts w:hint="eastAsia" w:cs="Times New Roman"/>
                <w:color w:val="auto"/>
                <w:sz w:val="28"/>
                <w:szCs w:val="28"/>
                <w:lang w:val="en-US" w:eastAsia="zh-CN"/>
              </w:rPr>
              <w:t>44</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eastAsia="宋体" w:cs="Times New Roman"/>
                <w:kern w:val="2"/>
                <w:sz w:val="28"/>
                <w:szCs w:val="28"/>
                <w:lang w:val="en-US" w:eastAsia="zh-CN" w:bidi="ar-SA"/>
              </w:rPr>
            </w:pPr>
            <w:r>
              <w:rPr>
                <w:rFonts w:ascii="Times New Roman" w:hAnsi="Times New Roman"/>
                <w:sz w:val="28"/>
                <w:szCs w:val="28"/>
              </w:rPr>
              <w:t>3</w:t>
            </w:r>
          </w:p>
        </w:tc>
        <w:tc>
          <w:tcPr>
            <w:tcW w:w="5374" w:type="dxa"/>
            <w:noWrap w:val="0"/>
            <w:vAlign w:val="center"/>
          </w:tcPr>
          <w:p>
            <w:pPr>
              <w:adjustRightInd w:val="0"/>
              <w:snapToGrid w:val="0"/>
              <w:spacing w:line="240" w:lineRule="auto"/>
              <w:rPr>
                <w:rFonts w:hint="eastAsia" w:ascii="Times New Roman" w:hAnsi="Times New Roman" w:eastAsia="宋体"/>
                <w:sz w:val="28"/>
                <w:szCs w:val="28"/>
                <w:lang w:eastAsia="zh-CN"/>
              </w:rPr>
            </w:pPr>
            <w:r>
              <w:rPr>
                <w:rFonts w:hint="eastAsia" w:ascii="宋体" w:hAnsi="宋体" w:eastAsia="宋体" w:cs="宋体"/>
                <w:sz w:val="28"/>
              </w:rPr>
              <w:t>严格按照大气污染防控相关政策要求，细化工程分析内容，补充生产设施与产能匹配性分析（尤其是产品堆存区库存量），完善原料装卸、输送、生产工艺节点转载、道路地面等相关污染防控内容</w:t>
            </w:r>
            <w:r>
              <w:rPr>
                <w:rFonts w:hint="eastAsia" w:ascii="宋体" w:hAnsi="宋体" w:eastAsia="宋体" w:cs="宋体"/>
                <w:sz w:val="28"/>
                <w:lang w:eastAsia="zh-CN"/>
              </w:rPr>
              <w:t>；</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见报告P</w:t>
            </w:r>
            <w:r>
              <w:rPr>
                <w:rFonts w:hint="eastAsia" w:cs="Times New Roman"/>
                <w:color w:val="auto"/>
                <w:sz w:val="28"/>
                <w:szCs w:val="28"/>
                <w:lang w:val="en-US" w:eastAsia="zh-CN"/>
              </w:rPr>
              <w:t>6、</w:t>
            </w:r>
            <w:r>
              <w:rPr>
                <w:rFonts w:hint="default" w:ascii="Times New Roman" w:hAnsi="Times New Roman" w:eastAsia="宋体" w:cs="Times New Roman"/>
                <w:color w:val="auto"/>
                <w:sz w:val="28"/>
                <w:szCs w:val="28"/>
              </w:rPr>
              <w:t>P</w:t>
            </w:r>
            <w:r>
              <w:rPr>
                <w:rFonts w:hint="eastAsia" w:cs="Times New Roman"/>
                <w:color w:val="auto"/>
                <w:sz w:val="28"/>
                <w:szCs w:val="28"/>
                <w:lang w:val="en-US" w:eastAsia="zh-CN"/>
              </w:rPr>
              <w:t>29-33</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eastAsia="宋体" w:cs="Times New Roman"/>
                <w:kern w:val="2"/>
                <w:sz w:val="28"/>
                <w:szCs w:val="28"/>
                <w:lang w:val="en-US" w:eastAsia="zh-CN" w:bidi="ar-SA"/>
              </w:rPr>
            </w:pPr>
            <w:r>
              <w:rPr>
                <w:rFonts w:ascii="Times New Roman" w:hAnsi="Times New Roman"/>
                <w:sz w:val="28"/>
                <w:szCs w:val="28"/>
              </w:rPr>
              <w:t>4</w:t>
            </w:r>
          </w:p>
        </w:tc>
        <w:tc>
          <w:tcPr>
            <w:tcW w:w="5374" w:type="dxa"/>
            <w:noWrap w:val="0"/>
            <w:vAlign w:val="center"/>
          </w:tcPr>
          <w:p>
            <w:pPr>
              <w:adjustRightInd w:val="0"/>
              <w:snapToGrid w:val="0"/>
              <w:spacing w:line="240" w:lineRule="auto"/>
              <w:rPr>
                <w:rFonts w:hint="eastAsia" w:ascii="宋体" w:hAnsi="宋体" w:eastAsia="宋体" w:cs="宋体"/>
                <w:sz w:val="28"/>
                <w:szCs w:val="28"/>
              </w:rPr>
            </w:pPr>
            <w:r>
              <w:rPr>
                <w:rFonts w:hint="eastAsia" w:ascii="宋体" w:hAnsi="宋体" w:eastAsia="宋体" w:cs="宋体"/>
                <w:sz w:val="28"/>
              </w:rPr>
              <w:t>校核物料平衡和水平衡；</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lang w:val="en-US"/>
              </w:rPr>
            </w:pPr>
            <w:r>
              <w:rPr>
                <w:rFonts w:hint="default" w:ascii="Times New Roman" w:hAnsi="Times New Roman" w:eastAsia="宋体" w:cs="Times New Roman"/>
                <w:color w:val="auto"/>
                <w:sz w:val="28"/>
                <w:szCs w:val="28"/>
              </w:rPr>
              <w:t>见报告</w:t>
            </w:r>
            <w:r>
              <w:rPr>
                <w:rFonts w:hint="eastAsia" w:cs="Times New Roman"/>
                <w:color w:val="auto"/>
                <w:sz w:val="28"/>
                <w:szCs w:val="28"/>
                <w:lang w:val="en-US" w:eastAsia="zh-CN"/>
              </w:rPr>
              <w:t>P35及</w:t>
            </w:r>
            <w:r>
              <w:rPr>
                <w:rFonts w:hint="eastAsia" w:ascii="Times New Roman" w:hAnsi="Times New Roman" w:eastAsia="宋体" w:cs="Times New Roman"/>
                <w:color w:val="auto"/>
                <w:sz w:val="28"/>
                <w:szCs w:val="28"/>
                <w:lang w:eastAsia="zh-CN"/>
              </w:rPr>
              <w:t>图</w:t>
            </w:r>
            <w:r>
              <w:rPr>
                <w:rFonts w:hint="eastAsia" w:cs="Times New Roman"/>
                <w:color w:val="auto"/>
                <w:sz w:val="28"/>
                <w:szCs w:val="28"/>
                <w:lang w:val="en-US" w:eastAsia="zh-CN"/>
              </w:rPr>
              <w:t>2、P39-40及</w:t>
            </w:r>
            <w:r>
              <w:rPr>
                <w:rFonts w:hint="eastAsia" w:ascii="Times New Roman" w:hAnsi="Times New Roman" w:eastAsia="宋体" w:cs="Times New Roman"/>
                <w:color w:val="auto"/>
                <w:sz w:val="28"/>
                <w:szCs w:val="28"/>
                <w:lang w:eastAsia="zh-CN"/>
              </w:rPr>
              <w:t>图</w:t>
            </w:r>
            <w:r>
              <w:rPr>
                <w:rFonts w:hint="eastAsia" w:cs="Times New Roman"/>
                <w:color w:val="auto"/>
                <w:sz w:val="28"/>
                <w:szCs w:val="28"/>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eastAsia="宋体" w:cs="Times New Roman"/>
                <w:kern w:val="2"/>
                <w:sz w:val="28"/>
                <w:szCs w:val="28"/>
                <w:lang w:val="en-US" w:eastAsia="zh-CN" w:bidi="ar-SA"/>
              </w:rPr>
            </w:pPr>
            <w:r>
              <w:rPr>
                <w:rFonts w:ascii="Times New Roman" w:hAnsi="Times New Roman"/>
                <w:sz w:val="28"/>
                <w:szCs w:val="28"/>
              </w:rPr>
              <w:t>5</w:t>
            </w:r>
          </w:p>
        </w:tc>
        <w:tc>
          <w:tcPr>
            <w:tcW w:w="5374" w:type="dxa"/>
            <w:noWrap w:val="0"/>
            <w:vAlign w:val="center"/>
          </w:tcPr>
          <w:p>
            <w:pPr>
              <w:keepNext w:val="0"/>
              <w:keepLines w:val="0"/>
              <w:pageBreakBefore w:val="0"/>
              <w:widowControl w:val="0"/>
              <w:tabs>
                <w:tab w:val="left" w:pos="5190"/>
              </w:tabs>
              <w:kinsoku/>
              <w:wordWrap/>
              <w:overflowPunct/>
              <w:topLinePunct w:val="0"/>
              <w:autoSpaceDE/>
              <w:autoSpaceDN/>
              <w:bidi w:val="0"/>
              <w:adjustRightInd/>
              <w:snapToGrid/>
              <w:spacing w:line="400" w:lineRule="exact"/>
              <w:jc w:val="left"/>
              <w:textAlignment w:val="auto"/>
              <w:rPr>
                <w:rFonts w:hint="eastAsia" w:ascii="宋体" w:hAnsi="宋体" w:eastAsia="宋体" w:cs="宋体"/>
                <w:sz w:val="28"/>
                <w:szCs w:val="28"/>
              </w:rPr>
            </w:pPr>
            <w:r>
              <w:rPr>
                <w:rFonts w:hint="eastAsia" w:ascii="宋体" w:hAnsi="宋体" w:eastAsia="宋体" w:cs="宋体"/>
                <w:sz w:val="28"/>
              </w:rPr>
              <w:t>生产设施在全封闭车间内并按照相关要求对相关设施进行二次封闭，确保各类污染物达标排放。</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见报告P</w:t>
            </w:r>
            <w:r>
              <w:rPr>
                <w:rFonts w:hint="eastAsia" w:ascii="Times New Roman" w:hAnsi="Times New Roman" w:eastAsia="宋体" w:cs="Times New Roman"/>
                <w:color w:val="auto"/>
                <w:sz w:val="28"/>
                <w:szCs w:val="28"/>
                <w:lang w:val="en-US" w:eastAsia="zh-CN"/>
              </w:rPr>
              <w:t>5</w:t>
            </w:r>
            <w:r>
              <w:rPr>
                <w:rFonts w:hint="eastAsia" w:cs="Times New Roman"/>
                <w:color w:val="auto"/>
                <w:sz w:val="28"/>
                <w:szCs w:val="28"/>
                <w:lang w:val="en-US" w:eastAsia="zh-CN"/>
              </w:rPr>
              <w:t>2-53</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ascii="Times New Roman" w:hAnsi="Times New Roman"/>
                <w:sz w:val="28"/>
                <w:szCs w:val="28"/>
              </w:rPr>
            </w:pPr>
            <w:r>
              <w:rPr>
                <w:rFonts w:ascii="Times New Roman" w:hAnsi="Times New Roman"/>
                <w:sz w:val="28"/>
                <w:szCs w:val="28"/>
              </w:rPr>
              <w:t>6</w:t>
            </w:r>
          </w:p>
        </w:tc>
        <w:tc>
          <w:tcPr>
            <w:tcW w:w="5374" w:type="dxa"/>
            <w:noWrap w:val="0"/>
            <w:vAlign w:val="center"/>
          </w:tcPr>
          <w:p>
            <w:pPr>
              <w:keepNext w:val="0"/>
              <w:keepLines w:val="0"/>
              <w:pageBreakBefore w:val="0"/>
              <w:widowControl w:val="0"/>
              <w:tabs>
                <w:tab w:val="left" w:pos="5190"/>
              </w:tabs>
              <w:kinsoku/>
              <w:wordWrap/>
              <w:overflowPunct/>
              <w:topLinePunct w:val="0"/>
              <w:autoSpaceDE/>
              <w:autoSpaceDN/>
              <w:bidi w:val="0"/>
              <w:adjustRightInd/>
              <w:snapToGrid/>
              <w:spacing w:line="240" w:lineRule="auto"/>
              <w:jc w:val="left"/>
              <w:textAlignment w:val="auto"/>
              <w:rPr>
                <w:rFonts w:hint="eastAsia" w:ascii="宋体" w:hAnsi="宋体" w:eastAsia="宋体" w:cs="宋体"/>
                <w:sz w:val="28"/>
              </w:rPr>
            </w:pPr>
            <w:r>
              <w:rPr>
                <w:rFonts w:hint="eastAsia" w:ascii="宋体" w:hAnsi="宋体" w:eastAsia="宋体" w:cs="宋体"/>
                <w:sz w:val="28"/>
              </w:rPr>
              <w:t>补充车辆运输相应环保措施和要求；</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见报告P</w:t>
            </w:r>
            <w:r>
              <w:rPr>
                <w:rFonts w:hint="eastAsia" w:cs="Times New Roman"/>
                <w:color w:val="auto"/>
                <w:sz w:val="28"/>
                <w:szCs w:val="28"/>
                <w:lang w:val="en-US" w:eastAsia="zh-CN"/>
              </w:rPr>
              <w:t>53</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hint="eastAsia" w:ascii="Times New Roman" w:hAnsi="Times New Roman" w:eastAsia="宋体"/>
                <w:sz w:val="28"/>
                <w:szCs w:val="28"/>
                <w:lang w:val="en-US" w:eastAsia="zh-CN"/>
              </w:rPr>
            </w:pPr>
            <w:r>
              <w:rPr>
                <w:rFonts w:hint="eastAsia"/>
                <w:sz w:val="28"/>
                <w:szCs w:val="28"/>
                <w:lang w:val="en-US" w:eastAsia="zh-CN"/>
              </w:rPr>
              <w:t>7</w:t>
            </w:r>
          </w:p>
        </w:tc>
        <w:tc>
          <w:tcPr>
            <w:tcW w:w="5374" w:type="dxa"/>
            <w:noWrap w:val="0"/>
            <w:vAlign w:val="center"/>
          </w:tcPr>
          <w:p>
            <w:pPr>
              <w:tabs>
                <w:tab w:val="left" w:pos="5190"/>
              </w:tabs>
              <w:wordWrap/>
              <w:spacing w:line="520" w:lineRule="exact"/>
              <w:jc w:val="left"/>
              <w:rPr>
                <w:rFonts w:hint="eastAsia" w:ascii="宋体" w:hAnsi="宋体" w:eastAsia="宋体" w:cs="宋体"/>
                <w:sz w:val="28"/>
              </w:rPr>
            </w:pPr>
            <w:r>
              <w:rPr>
                <w:rFonts w:hint="eastAsia" w:ascii="宋体" w:hAnsi="宋体" w:eastAsia="宋体" w:cs="宋体"/>
                <w:sz w:val="28"/>
              </w:rPr>
              <w:t>完善初期雨水收集系统和利用情况说明。</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见报告P</w:t>
            </w:r>
            <w:r>
              <w:rPr>
                <w:rFonts w:hint="eastAsia" w:cs="Times New Roman"/>
                <w:color w:val="auto"/>
                <w:sz w:val="28"/>
                <w:szCs w:val="28"/>
                <w:lang w:val="en-US" w:eastAsia="zh-CN"/>
              </w:rPr>
              <w:t>37</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hint="eastAsia"/>
                <w:sz w:val="28"/>
                <w:szCs w:val="28"/>
                <w:lang w:val="en-US" w:eastAsia="zh-CN"/>
              </w:rPr>
            </w:pPr>
            <w:r>
              <w:rPr>
                <w:rFonts w:hint="eastAsia" w:cs="Times New Roman"/>
                <w:kern w:val="2"/>
                <w:sz w:val="28"/>
                <w:szCs w:val="28"/>
                <w:lang w:val="en-US" w:eastAsia="zh-CN" w:bidi="ar-SA"/>
              </w:rPr>
              <w:t>8</w:t>
            </w:r>
          </w:p>
        </w:tc>
        <w:tc>
          <w:tcPr>
            <w:tcW w:w="5374" w:type="dxa"/>
            <w:noWrap w:val="0"/>
            <w:vAlign w:val="center"/>
          </w:tcPr>
          <w:p>
            <w:pPr>
              <w:keepNext w:val="0"/>
              <w:keepLines w:val="0"/>
              <w:pageBreakBefore w:val="0"/>
              <w:widowControl w:val="0"/>
              <w:tabs>
                <w:tab w:val="left" w:pos="5190"/>
              </w:tabs>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8"/>
              </w:rPr>
            </w:pPr>
            <w:r>
              <w:rPr>
                <w:rFonts w:hint="eastAsia" w:ascii="宋体" w:hAnsi="宋体" w:eastAsia="宋体" w:cs="宋体"/>
                <w:color w:val="auto"/>
                <w:sz w:val="28"/>
              </w:rPr>
              <w:t>细化项目平面布局图并分析项目平面布局的合理性（标注环保设施位置）；</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见报告</w:t>
            </w:r>
            <w:r>
              <w:rPr>
                <w:rFonts w:hint="eastAsia" w:ascii="Times New Roman" w:hAnsi="Times New Roman" w:eastAsia="宋体" w:cs="Times New Roman"/>
                <w:color w:val="auto"/>
                <w:sz w:val="28"/>
                <w:szCs w:val="28"/>
                <w:lang w:eastAsia="zh-CN"/>
              </w:rPr>
              <w:t>附图</w:t>
            </w:r>
            <w:r>
              <w:rPr>
                <w:rFonts w:hint="eastAsia" w:cs="Times New Roman"/>
                <w:color w:val="auto"/>
                <w:sz w:val="28"/>
                <w:szCs w:val="28"/>
                <w:lang w:val="en-US" w:eastAsia="zh-CN"/>
              </w:rPr>
              <w:t>4、</w:t>
            </w:r>
            <w:r>
              <w:rPr>
                <w:rFonts w:hint="default" w:ascii="Times New Roman" w:hAnsi="Times New Roman" w:eastAsia="宋体" w:cs="Times New Roman"/>
                <w:color w:val="auto"/>
                <w:sz w:val="28"/>
                <w:szCs w:val="28"/>
              </w:rPr>
              <w:t>P</w:t>
            </w:r>
            <w:r>
              <w:rPr>
                <w:rFonts w:hint="eastAsia" w:cs="Times New Roman"/>
                <w:color w:val="auto"/>
                <w:sz w:val="28"/>
                <w:szCs w:val="28"/>
                <w:lang w:val="en-US" w:eastAsia="zh-CN"/>
              </w:rPr>
              <w:t>62-63</w:t>
            </w:r>
            <w:r>
              <w:rPr>
                <w:rFonts w:hint="default" w:ascii="Times New Roman" w:hAnsi="Times New Roman" w:eastAsia="宋体" w:cs="Times New Roman"/>
                <w:color w:val="auto"/>
                <w:sz w:val="28"/>
                <w:szCs w:val="28"/>
              </w:rPr>
              <w:t>，加粗下划线部分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07" w:type="dxa"/>
            <w:noWrap w:val="0"/>
            <w:vAlign w:val="center"/>
          </w:tcPr>
          <w:p>
            <w:pPr>
              <w:adjustRightInd w:val="0"/>
              <w:snapToGrid w:val="0"/>
              <w:spacing w:line="240" w:lineRule="auto"/>
              <w:jc w:val="center"/>
              <w:rPr>
                <w:rFonts w:hint="default" w:ascii="Times New Roman" w:hAnsi="Times New Roman" w:eastAsia="宋体" w:cs="Times New Roman"/>
                <w:kern w:val="2"/>
                <w:sz w:val="28"/>
                <w:szCs w:val="28"/>
                <w:lang w:val="en-US" w:eastAsia="zh-CN" w:bidi="ar-SA"/>
              </w:rPr>
            </w:pPr>
            <w:r>
              <w:rPr>
                <w:rFonts w:hint="eastAsia" w:cs="Times New Roman"/>
                <w:kern w:val="2"/>
                <w:sz w:val="28"/>
                <w:szCs w:val="28"/>
                <w:lang w:val="en-US" w:eastAsia="zh-CN" w:bidi="ar-SA"/>
              </w:rPr>
              <w:t>9</w:t>
            </w:r>
          </w:p>
        </w:tc>
        <w:tc>
          <w:tcPr>
            <w:tcW w:w="5374" w:type="dxa"/>
            <w:noWrap w:val="0"/>
            <w:vAlign w:val="center"/>
          </w:tcPr>
          <w:p>
            <w:pPr>
              <w:adjustRightInd w:val="0"/>
              <w:snapToGrid w:val="0"/>
              <w:spacing w:line="240" w:lineRule="auto"/>
              <w:rPr>
                <w:rFonts w:hint="eastAsia" w:ascii="宋体" w:hAnsi="宋体" w:eastAsia="宋体" w:cs="宋体"/>
                <w:sz w:val="28"/>
                <w:szCs w:val="28"/>
              </w:rPr>
            </w:pPr>
            <w:r>
              <w:rPr>
                <w:rFonts w:hint="eastAsia" w:ascii="宋体" w:hAnsi="宋体" w:eastAsia="宋体" w:cs="宋体"/>
                <w:sz w:val="28"/>
              </w:rPr>
              <w:t>完善环保投资及环保设施验收一览表内容。</w:t>
            </w:r>
          </w:p>
        </w:tc>
        <w:tc>
          <w:tcPr>
            <w:tcW w:w="2241" w:type="dxa"/>
            <w:noWrap w:val="0"/>
            <w:vAlign w:val="center"/>
          </w:tcPr>
          <w:p>
            <w:pPr>
              <w:adjustRightInd w:val="0"/>
              <w:snapToGrid w:val="0"/>
              <w:spacing w:line="240" w:lineRule="auto"/>
              <w:jc w:val="center"/>
              <w:rPr>
                <w:rFonts w:hint="default" w:ascii="Times New Roman" w:hAnsi="Times New Roman" w:eastAsia="宋体" w:cs="Times New Roman"/>
                <w:color w:val="FF0000"/>
                <w:sz w:val="28"/>
                <w:szCs w:val="28"/>
              </w:rPr>
            </w:pPr>
            <w:r>
              <w:rPr>
                <w:rFonts w:hint="default" w:ascii="Times New Roman" w:hAnsi="Times New Roman" w:eastAsia="宋体" w:cs="Times New Roman"/>
                <w:color w:val="auto"/>
                <w:sz w:val="28"/>
                <w:szCs w:val="28"/>
              </w:rPr>
              <w:t>见报告P</w:t>
            </w:r>
            <w:r>
              <w:rPr>
                <w:rFonts w:hint="eastAsia" w:cs="Times New Roman"/>
                <w:color w:val="auto"/>
                <w:sz w:val="28"/>
                <w:szCs w:val="28"/>
                <w:lang w:val="en-US" w:eastAsia="zh-CN"/>
              </w:rPr>
              <w:t>65</w:t>
            </w:r>
            <w:r>
              <w:rPr>
                <w:rFonts w:hint="default" w:ascii="Times New Roman" w:hAnsi="Times New Roman" w:eastAsia="宋体" w:cs="Times New Roman"/>
                <w:color w:val="auto"/>
                <w:sz w:val="28"/>
                <w:szCs w:val="28"/>
              </w:rPr>
              <w:t>-</w:t>
            </w:r>
            <w:r>
              <w:rPr>
                <w:rFonts w:hint="eastAsia" w:cs="Times New Roman"/>
                <w:color w:val="auto"/>
                <w:sz w:val="28"/>
                <w:szCs w:val="28"/>
                <w:lang w:val="en-US" w:eastAsia="zh-CN"/>
              </w:rPr>
              <w:t>66</w:t>
            </w:r>
            <w:r>
              <w:rPr>
                <w:rFonts w:hint="default" w:ascii="Times New Roman" w:hAnsi="Times New Roman" w:eastAsia="宋体" w:cs="Times New Roman"/>
                <w:color w:val="auto"/>
                <w:sz w:val="28"/>
                <w:szCs w:val="28"/>
              </w:rPr>
              <w:t>，</w:t>
            </w:r>
            <w:r>
              <w:rPr>
                <w:rFonts w:hint="eastAsia" w:cs="Times New Roman"/>
                <w:color w:val="auto"/>
                <w:sz w:val="28"/>
                <w:szCs w:val="28"/>
                <w:lang w:eastAsia="zh-CN"/>
              </w:rPr>
              <w:t>表</w:t>
            </w:r>
            <w:r>
              <w:rPr>
                <w:rFonts w:hint="eastAsia" w:cs="Times New Roman"/>
                <w:color w:val="auto"/>
                <w:sz w:val="28"/>
                <w:szCs w:val="28"/>
                <w:lang w:val="en-US" w:eastAsia="zh-CN"/>
              </w:rPr>
              <w:t>41，</w:t>
            </w:r>
            <w:r>
              <w:rPr>
                <w:rFonts w:hint="default" w:ascii="Times New Roman" w:hAnsi="Times New Roman" w:eastAsia="宋体" w:cs="Times New Roman"/>
                <w:color w:val="auto"/>
                <w:sz w:val="28"/>
                <w:szCs w:val="28"/>
              </w:rPr>
              <w:t>加粗下划线部分</w:t>
            </w:r>
          </w:p>
        </w:tc>
      </w:tr>
    </w:tbl>
    <w:p>
      <w:pPr>
        <w:spacing w:beforeLines="100" w:afterLines="50" w:line="520" w:lineRule="exact"/>
        <w:jc w:val="center"/>
        <w:rPr>
          <w:b/>
          <w:sz w:val="36"/>
          <w:szCs w:val="36"/>
        </w:rPr>
      </w:pPr>
    </w:p>
    <w:p>
      <w:pPr>
        <w:spacing w:beforeLines="100" w:afterLines="50" w:line="520" w:lineRule="exact"/>
        <w:jc w:val="center"/>
        <w:rPr>
          <w:b/>
          <w:sz w:val="36"/>
          <w:szCs w:val="36"/>
        </w:rPr>
      </w:pPr>
    </w:p>
    <w:p>
      <w:pPr>
        <w:spacing w:beforeLines="100" w:afterLines="50" w:line="520" w:lineRule="exact"/>
        <w:jc w:val="center"/>
        <w:rPr>
          <w:b/>
          <w:sz w:val="36"/>
          <w:szCs w:val="36"/>
        </w:rPr>
      </w:pPr>
    </w:p>
    <w:p>
      <w:pPr>
        <w:spacing w:beforeLines="100" w:afterLines="50" w:line="520" w:lineRule="exact"/>
        <w:jc w:val="center"/>
        <w:rPr>
          <w:b/>
          <w:sz w:val="36"/>
          <w:szCs w:val="36"/>
        </w:rPr>
      </w:pPr>
      <w:r>
        <w:rPr>
          <w:b/>
          <w:sz w:val="36"/>
          <w:szCs w:val="36"/>
        </w:rPr>
        <w:t>《建设项目环境影响报告表》编制说明</w:t>
      </w:r>
    </w:p>
    <w:p>
      <w:pPr>
        <w:spacing w:line="520" w:lineRule="exact"/>
        <w:ind w:firstLine="600" w:firstLineChars="200"/>
        <w:rPr>
          <w:sz w:val="30"/>
          <w:szCs w:val="30"/>
        </w:rPr>
      </w:pPr>
    </w:p>
    <w:p>
      <w:pPr>
        <w:spacing w:line="520" w:lineRule="exact"/>
        <w:ind w:firstLine="600" w:firstLineChars="200"/>
        <w:rPr>
          <w:sz w:val="30"/>
          <w:szCs w:val="30"/>
        </w:rPr>
      </w:pPr>
      <w:r>
        <w:rPr>
          <w:sz w:val="30"/>
          <w:szCs w:val="30"/>
        </w:rPr>
        <w:t>《建设项目环境影响报告表》由具有从事环境影响评价工作资质的单位编制。</w:t>
      </w:r>
    </w:p>
    <w:p>
      <w:pPr>
        <w:spacing w:line="520" w:lineRule="exact"/>
        <w:ind w:firstLine="600" w:firstLineChars="200"/>
        <w:rPr>
          <w:sz w:val="30"/>
          <w:szCs w:val="30"/>
        </w:rPr>
      </w:pPr>
      <w:r>
        <w:rPr>
          <w:sz w:val="30"/>
          <w:szCs w:val="30"/>
        </w:rPr>
        <w:t>1．项目名称——指项目立项批复时的名称，应不超过30个字(两个英文字段作一个汉字)。</w:t>
      </w:r>
    </w:p>
    <w:p>
      <w:pPr>
        <w:spacing w:line="520" w:lineRule="exact"/>
        <w:ind w:firstLine="600" w:firstLineChars="200"/>
        <w:rPr>
          <w:sz w:val="30"/>
          <w:szCs w:val="30"/>
        </w:rPr>
      </w:pPr>
      <w:r>
        <w:rPr>
          <w:sz w:val="30"/>
          <w:szCs w:val="30"/>
        </w:rPr>
        <w:t>2．建设地点——指项目所在地详细地址，公路、铁路应填写起止地点。</w:t>
      </w:r>
    </w:p>
    <w:p>
      <w:pPr>
        <w:spacing w:line="520" w:lineRule="exact"/>
        <w:ind w:firstLine="600" w:firstLineChars="200"/>
        <w:rPr>
          <w:sz w:val="30"/>
          <w:szCs w:val="30"/>
        </w:rPr>
      </w:pPr>
      <w:r>
        <w:rPr>
          <w:sz w:val="30"/>
          <w:szCs w:val="30"/>
        </w:rPr>
        <w:t>3．行业类别——按国标填写。</w:t>
      </w:r>
    </w:p>
    <w:p>
      <w:pPr>
        <w:spacing w:line="520" w:lineRule="exact"/>
        <w:ind w:firstLine="600" w:firstLineChars="200"/>
        <w:rPr>
          <w:sz w:val="30"/>
          <w:szCs w:val="30"/>
        </w:rPr>
      </w:pPr>
      <w:r>
        <w:rPr>
          <w:sz w:val="30"/>
          <w:szCs w:val="30"/>
        </w:rPr>
        <w:t>4．总投资——指项目投资总额。</w:t>
      </w:r>
    </w:p>
    <w:p>
      <w:pPr>
        <w:spacing w:line="520" w:lineRule="exact"/>
        <w:ind w:firstLine="600" w:firstLineChars="200"/>
        <w:rPr>
          <w:sz w:val="30"/>
          <w:szCs w:val="30"/>
        </w:rPr>
      </w:pPr>
      <w:r>
        <w:rPr>
          <w:sz w:val="30"/>
          <w:szCs w:val="30"/>
        </w:rPr>
        <w:t>5．主要环境保护目标——指项目区周围一定范围内集中居民住宅区、学校、医院、保护文物、风景名胜区、水源地和生态敏感点等，应尽可能给出保护目标、性质、规模和距厂界距离等。</w:t>
      </w:r>
    </w:p>
    <w:p>
      <w:pPr>
        <w:spacing w:line="520" w:lineRule="exact"/>
        <w:ind w:firstLine="600" w:firstLineChars="200"/>
        <w:rPr>
          <w:sz w:val="30"/>
          <w:szCs w:val="30"/>
        </w:rPr>
      </w:pPr>
      <w:r>
        <w:rPr>
          <w:sz w:val="30"/>
          <w:szCs w:val="30"/>
        </w:rPr>
        <w:t>6．结论与建议——给出本项目清洁生产、达标排放和总量控制的分析结论，确定污染防治措施的有效性，说明本项目对环境造成的影响，给出建设项目环境可行性的明确结论。同时提出减少环境影响的其他建议。</w:t>
      </w:r>
    </w:p>
    <w:p>
      <w:pPr>
        <w:spacing w:line="520" w:lineRule="exact"/>
        <w:ind w:firstLine="600" w:firstLineChars="200"/>
        <w:rPr>
          <w:sz w:val="30"/>
          <w:szCs w:val="30"/>
        </w:rPr>
      </w:pPr>
      <w:r>
        <w:rPr>
          <w:sz w:val="30"/>
          <w:szCs w:val="30"/>
        </w:rPr>
        <w:t>7．预审意见——由行业主管部门填写答复意见，无主管部门项目，可不填。</w:t>
      </w:r>
    </w:p>
    <w:p>
      <w:pPr>
        <w:spacing w:line="520" w:lineRule="exact"/>
        <w:ind w:firstLine="600" w:firstLineChars="200"/>
        <w:rPr>
          <w:sz w:val="30"/>
          <w:szCs w:val="30"/>
        </w:rPr>
      </w:pPr>
      <w:r>
        <w:rPr>
          <w:sz w:val="30"/>
          <w:szCs w:val="30"/>
        </w:rPr>
        <w:t>8．审批意见——由负责审批该项目的环境保护行政主管部门批复。</w:t>
      </w:r>
    </w:p>
    <w:p>
      <w:pPr>
        <w:rPr>
          <w:sz w:val="30"/>
          <w:szCs w:val="30"/>
        </w:rPr>
      </w:pPr>
    </w:p>
    <w:p>
      <w:pPr>
        <w:spacing w:line="520" w:lineRule="exact"/>
        <w:rPr>
          <w:rFonts w:eastAsia="黑体"/>
          <w:b/>
          <w:sz w:val="28"/>
          <w:szCs w:val="28"/>
        </w:rPr>
      </w:pPr>
    </w:p>
    <w:p>
      <w:pPr>
        <w:spacing w:line="520" w:lineRule="exact"/>
        <w:ind w:firstLine="138" w:firstLineChars="49"/>
        <w:rPr>
          <w:rFonts w:eastAsia="黑体"/>
          <w:b/>
          <w:sz w:val="28"/>
          <w:szCs w:val="28"/>
        </w:rPr>
        <w:sectPr>
          <w:footerReference r:id="rId4" w:type="default"/>
          <w:pgSz w:w="11906" w:h="16838"/>
          <w:pgMar w:top="1701" w:right="1588" w:bottom="1985" w:left="1588" w:header="851" w:footer="992" w:gutter="0"/>
          <w:pgNumType w:start="1"/>
          <w:cols w:space="720" w:num="1"/>
          <w:docGrid w:type="lines" w:linePitch="312" w:charSpace="0"/>
        </w:sectPr>
      </w:pPr>
    </w:p>
    <w:p>
      <w:pPr>
        <w:spacing w:line="520" w:lineRule="exact"/>
        <w:ind w:firstLine="138" w:firstLineChars="49"/>
        <w:rPr>
          <w:rFonts w:eastAsia="黑体"/>
          <w:b/>
          <w:sz w:val="28"/>
          <w:szCs w:val="28"/>
        </w:rPr>
      </w:pPr>
      <w:r>
        <w:rPr>
          <w:rFonts w:eastAsia="黑体"/>
          <w:b/>
          <w:sz w:val="28"/>
          <w:szCs w:val="28"/>
        </w:rPr>
        <w:t>建设项目基本情况</w:t>
      </w:r>
    </w:p>
    <w:tbl>
      <w:tblPr>
        <w:tblStyle w:val="32"/>
        <w:tblW w:w="920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16"/>
        <w:gridCol w:w="1230"/>
        <w:gridCol w:w="593"/>
        <w:gridCol w:w="937"/>
        <w:gridCol w:w="302"/>
        <w:gridCol w:w="337"/>
        <w:gridCol w:w="976"/>
        <w:gridCol w:w="267"/>
        <w:gridCol w:w="1353"/>
        <w:gridCol w:w="182"/>
        <w:gridCol w:w="13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16" w:type="dxa"/>
            <w:tcBorders>
              <w:top w:val="single" w:color="auto" w:sz="12" w:space="0"/>
              <w:left w:val="single" w:color="auto" w:sz="12" w:space="0"/>
            </w:tcBorders>
            <w:noWrap/>
            <w:vAlign w:val="center"/>
          </w:tcPr>
          <w:p>
            <w:pPr>
              <w:spacing w:line="360" w:lineRule="exact"/>
              <w:jc w:val="center"/>
              <w:rPr>
                <w:sz w:val="24"/>
              </w:rPr>
            </w:pPr>
            <w:r>
              <w:rPr>
                <w:sz w:val="24"/>
              </w:rPr>
              <w:t>项目名称</w:t>
            </w:r>
          </w:p>
        </w:tc>
        <w:tc>
          <w:tcPr>
            <w:tcW w:w="7490" w:type="dxa"/>
            <w:gridSpan w:val="10"/>
            <w:tcBorders>
              <w:top w:val="single" w:color="auto" w:sz="12" w:space="0"/>
              <w:right w:val="single" w:color="auto" w:sz="12" w:space="0"/>
            </w:tcBorders>
            <w:noWrap/>
            <w:vAlign w:val="center"/>
          </w:tcPr>
          <w:p>
            <w:pPr>
              <w:spacing w:line="360" w:lineRule="exact"/>
              <w:jc w:val="center"/>
              <w:rPr>
                <w:sz w:val="24"/>
              </w:rPr>
            </w:pPr>
            <w:r>
              <w:rPr>
                <w:rFonts w:hint="eastAsia"/>
                <w:sz w:val="24"/>
              </w:rPr>
              <w:t>平顶山市定坤水泥制品有限公司生产，加工水泥制品项目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spacing w:line="360" w:lineRule="exact"/>
              <w:jc w:val="center"/>
              <w:rPr>
                <w:sz w:val="24"/>
              </w:rPr>
            </w:pPr>
            <w:r>
              <w:rPr>
                <w:sz w:val="24"/>
              </w:rPr>
              <w:t>建设单位</w:t>
            </w:r>
          </w:p>
        </w:tc>
        <w:tc>
          <w:tcPr>
            <w:tcW w:w="7490" w:type="dxa"/>
            <w:gridSpan w:val="10"/>
            <w:tcBorders>
              <w:right w:val="single" w:color="auto" w:sz="12" w:space="0"/>
            </w:tcBorders>
            <w:noWrap/>
            <w:vAlign w:val="center"/>
          </w:tcPr>
          <w:p>
            <w:pPr>
              <w:spacing w:line="360" w:lineRule="exact"/>
              <w:jc w:val="center"/>
              <w:rPr>
                <w:sz w:val="24"/>
              </w:rPr>
            </w:pPr>
            <w:r>
              <w:rPr>
                <w:rFonts w:hint="default" w:ascii="Times New Roman" w:hAnsi="Times New Roman" w:cs="Times New Roman"/>
                <w:sz w:val="24"/>
              </w:rPr>
              <w:t>平顶山市定坤水泥制品有限公司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spacing w:line="360" w:lineRule="exact"/>
              <w:jc w:val="center"/>
              <w:rPr>
                <w:sz w:val="24"/>
              </w:rPr>
            </w:pPr>
            <w:r>
              <w:rPr>
                <w:sz w:val="24"/>
              </w:rPr>
              <w:t>法人代表</w:t>
            </w:r>
          </w:p>
        </w:tc>
        <w:tc>
          <w:tcPr>
            <w:tcW w:w="3399" w:type="dxa"/>
            <w:gridSpan w:val="5"/>
            <w:noWrap/>
            <w:vAlign w:val="center"/>
          </w:tcPr>
          <w:p>
            <w:pPr>
              <w:spacing w:line="360" w:lineRule="exact"/>
              <w:jc w:val="center"/>
              <w:rPr>
                <w:sz w:val="24"/>
              </w:rPr>
            </w:pPr>
            <w:r>
              <w:rPr>
                <w:rFonts w:hint="eastAsia"/>
                <w:sz w:val="24"/>
              </w:rPr>
              <w:t>柯玉琴</w:t>
            </w:r>
          </w:p>
        </w:tc>
        <w:tc>
          <w:tcPr>
            <w:tcW w:w="1243" w:type="dxa"/>
            <w:gridSpan w:val="2"/>
            <w:noWrap/>
            <w:vAlign w:val="center"/>
          </w:tcPr>
          <w:p>
            <w:pPr>
              <w:spacing w:line="360" w:lineRule="exact"/>
              <w:jc w:val="center"/>
              <w:rPr>
                <w:sz w:val="24"/>
              </w:rPr>
            </w:pPr>
            <w:r>
              <w:rPr>
                <w:sz w:val="24"/>
              </w:rPr>
              <w:t>联系人</w:t>
            </w:r>
          </w:p>
        </w:tc>
        <w:tc>
          <w:tcPr>
            <w:tcW w:w="2848" w:type="dxa"/>
            <w:gridSpan w:val="3"/>
            <w:tcBorders>
              <w:right w:val="single" w:color="auto" w:sz="12" w:space="0"/>
            </w:tcBorders>
            <w:noWrap/>
            <w:vAlign w:val="center"/>
          </w:tcPr>
          <w:p>
            <w:pPr>
              <w:spacing w:line="360" w:lineRule="exact"/>
              <w:jc w:val="center"/>
              <w:rPr>
                <w:sz w:val="24"/>
              </w:rPr>
            </w:pPr>
            <w:r>
              <w:rPr>
                <w:rFonts w:hint="eastAsia"/>
                <w:sz w:val="24"/>
              </w:rPr>
              <w:t>柯玉琴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通讯地址</w:t>
            </w:r>
          </w:p>
        </w:tc>
        <w:tc>
          <w:tcPr>
            <w:tcW w:w="7490" w:type="dxa"/>
            <w:gridSpan w:val="10"/>
            <w:tcBorders>
              <w:right w:val="single" w:color="auto" w:sz="12" w:space="0"/>
            </w:tcBorders>
            <w:noWrap/>
            <w:vAlign w:val="center"/>
          </w:tcPr>
          <w:p>
            <w:pPr>
              <w:adjustRightInd w:val="0"/>
              <w:snapToGrid w:val="0"/>
              <w:spacing w:line="360" w:lineRule="exact"/>
              <w:jc w:val="center"/>
              <w:rPr>
                <w:sz w:val="24"/>
              </w:rPr>
            </w:pPr>
            <w:r>
              <w:rPr>
                <w:rFonts w:hint="eastAsia"/>
                <w:sz w:val="24"/>
              </w:rPr>
              <w:t>平顶山市鲁山县张良镇工业园区西南角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联系电话</w:t>
            </w:r>
          </w:p>
        </w:tc>
        <w:tc>
          <w:tcPr>
            <w:tcW w:w="1823" w:type="dxa"/>
            <w:gridSpan w:val="2"/>
            <w:noWrap/>
            <w:vAlign w:val="center"/>
          </w:tcPr>
          <w:p>
            <w:pPr>
              <w:adjustRightInd w:val="0"/>
              <w:snapToGrid w:val="0"/>
              <w:spacing w:line="360" w:lineRule="exact"/>
              <w:jc w:val="center"/>
              <w:rPr>
                <w:sz w:val="24"/>
              </w:rPr>
            </w:pPr>
            <w:r>
              <w:rPr>
                <w:rFonts w:hint="eastAsia"/>
                <w:sz w:val="24"/>
              </w:rPr>
              <w:t>13849585788</w:t>
            </w:r>
          </w:p>
        </w:tc>
        <w:tc>
          <w:tcPr>
            <w:tcW w:w="937" w:type="dxa"/>
            <w:noWrap/>
            <w:vAlign w:val="center"/>
          </w:tcPr>
          <w:p>
            <w:pPr>
              <w:adjustRightInd w:val="0"/>
              <w:snapToGrid w:val="0"/>
              <w:spacing w:line="360" w:lineRule="exact"/>
              <w:jc w:val="center"/>
              <w:rPr>
                <w:sz w:val="24"/>
              </w:rPr>
            </w:pPr>
            <w:r>
              <w:rPr>
                <w:sz w:val="24"/>
              </w:rPr>
              <w:t>传真</w:t>
            </w:r>
          </w:p>
        </w:tc>
        <w:tc>
          <w:tcPr>
            <w:tcW w:w="1882" w:type="dxa"/>
            <w:gridSpan w:val="4"/>
            <w:noWrap/>
            <w:vAlign w:val="center"/>
          </w:tcPr>
          <w:p>
            <w:pPr>
              <w:adjustRightInd w:val="0"/>
              <w:snapToGrid w:val="0"/>
              <w:spacing w:line="360" w:lineRule="exact"/>
              <w:jc w:val="center"/>
              <w:rPr>
                <w:sz w:val="24"/>
              </w:rPr>
            </w:pPr>
            <w:r>
              <w:rPr>
                <w:sz w:val="24"/>
              </w:rPr>
              <w:t>/</w:t>
            </w:r>
          </w:p>
        </w:tc>
        <w:tc>
          <w:tcPr>
            <w:tcW w:w="1353" w:type="dxa"/>
            <w:noWrap/>
            <w:vAlign w:val="center"/>
          </w:tcPr>
          <w:p>
            <w:pPr>
              <w:adjustRightInd w:val="0"/>
              <w:snapToGrid w:val="0"/>
              <w:spacing w:line="360" w:lineRule="exact"/>
              <w:jc w:val="center"/>
              <w:rPr>
                <w:sz w:val="24"/>
              </w:rPr>
            </w:pPr>
            <w:r>
              <w:rPr>
                <w:sz w:val="24"/>
              </w:rPr>
              <w:t>邮政编码</w:t>
            </w:r>
          </w:p>
        </w:tc>
        <w:tc>
          <w:tcPr>
            <w:tcW w:w="1495" w:type="dxa"/>
            <w:gridSpan w:val="2"/>
            <w:tcBorders>
              <w:right w:val="single" w:color="auto" w:sz="12" w:space="0"/>
            </w:tcBorders>
            <w:noWrap/>
            <w:vAlign w:val="center"/>
          </w:tcPr>
          <w:p>
            <w:pPr>
              <w:adjustRightInd w:val="0"/>
              <w:snapToGrid w:val="0"/>
              <w:spacing w:line="360" w:lineRule="exact"/>
              <w:jc w:val="center"/>
              <w:rPr>
                <w:sz w:val="24"/>
              </w:rPr>
            </w:pPr>
            <w:r>
              <w:rPr>
                <w:sz w:val="24"/>
              </w:rPr>
              <w:t>467300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建设地点</w:t>
            </w:r>
          </w:p>
        </w:tc>
        <w:tc>
          <w:tcPr>
            <w:tcW w:w="7490" w:type="dxa"/>
            <w:gridSpan w:val="10"/>
            <w:tcBorders>
              <w:right w:val="single" w:color="auto" w:sz="12" w:space="0"/>
            </w:tcBorders>
            <w:noWrap/>
            <w:vAlign w:val="center"/>
          </w:tcPr>
          <w:p>
            <w:pPr>
              <w:adjustRightInd w:val="0"/>
              <w:snapToGrid w:val="0"/>
              <w:spacing w:line="360" w:lineRule="exact"/>
              <w:jc w:val="center"/>
              <w:rPr>
                <w:sz w:val="24"/>
              </w:rPr>
            </w:pPr>
            <w:r>
              <w:rPr>
                <w:rFonts w:hint="eastAsia"/>
                <w:sz w:val="24"/>
              </w:rPr>
              <w:t>平顶山市鲁山县张良镇工业园区西南角</w:t>
            </w:r>
          </w:p>
          <w:p>
            <w:pPr>
              <w:adjustRightInd w:val="0"/>
              <w:snapToGrid w:val="0"/>
              <w:spacing w:line="360" w:lineRule="exact"/>
              <w:jc w:val="center"/>
              <w:rPr>
                <w:sz w:val="24"/>
              </w:rPr>
            </w:pPr>
            <w:r>
              <w:rPr>
                <w:bCs/>
                <w:sz w:val="24"/>
              </w:rPr>
              <w:t>厂址中心坐标：东经</w:t>
            </w:r>
            <w:r>
              <w:rPr>
                <w:rFonts w:hint="eastAsia"/>
                <w:bCs/>
                <w:sz w:val="24"/>
              </w:rPr>
              <w:t>113.</w:t>
            </w:r>
            <w:r>
              <w:rPr>
                <w:rFonts w:hint="eastAsia"/>
                <w:bCs/>
                <w:sz w:val="24"/>
                <w:lang w:val="en-US" w:eastAsia="zh-CN"/>
              </w:rPr>
              <w:t>022606</w:t>
            </w:r>
            <w:r>
              <w:rPr>
                <w:bCs/>
                <w:sz w:val="24"/>
              </w:rPr>
              <w:t>°、北纬</w:t>
            </w:r>
            <w:r>
              <w:rPr>
                <w:rFonts w:hint="eastAsia"/>
                <w:bCs/>
                <w:sz w:val="24"/>
                <w:lang w:val="en-US" w:eastAsia="zh-CN"/>
              </w:rPr>
              <w:t>33.676669</w:t>
            </w:r>
            <w:r>
              <w:rPr>
                <w:bCs/>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立项审批部门</w:t>
            </w:r>
          </w:p>
        </w:tc>
        <w:tc>
          <w:tcPr>
            <w:tcW w:w="3062" w:type="dxa"/>
            <w:gridSpan w:val="4"/>
            <w:noWrap/>
            <w:vAlign w:val="center"/>
          </w:tcPr>
          <w:p>
            <w:pPr>
              <w:adjustRightInd w:val="0"/>
              <w:snapToGrid w:val="0"/>
              <w:spacing w:line="360" w:lineRule="exact"/>
              <w:jc w:val="center"/>
              <w:rPr>
                <w:sz w:val="24"/>
              </w:rPr>
            </w:pPr>
            <w:r>
              <w:rPr>
                <w:sz w:val="24"/>
              </w:rPr>
              <w:t>鲁山县发展</w:t>
            </w:r>
            <w:r>
              <w:rPr>
                <w:rFonts w:hint="eastAsia"/>
                <w:sz w:val="24"/>
              </w:rPr>
              <w:t>和</w:t>
            </w:r>
            <w:r>
              <w:rPr>
                <w:sz w:val="24"/>
              </w:rPr>
              <w:t>改革委员会</w:t>
            </w:r>
          </w:p>
        </w:tc>
        <w:tc>
          <w:tcPr>
            <w:tcW w:w="1313" w:type="dxa"/>
            <w:gridSpan w:val="2"/>
            <w:noWrap/>
            <w:vAlign w:val="center"/>
          </w:tcPr>
          <w:p>
            <w:pPr>
              <w:adjustRightInd w:val="0"/>
              <w:snapToGrid w:val="0"/>
              <w:spacing w:line="360" w:lineRule="exact"/>
              <w:jc w:val="center"/>
              <w:rPr>
                <w:sz w:val="24"/>
              </w:rPr>
            </w:pPr>
            <w:r>
              <w:rPr>
                <w:sz w:val="24"/>
              </w:rPr>
              <w:t>批准文号</w:t>
            </w:r>
          </w:p>
        </w:tc>
        <w:tc>
          <w:tcPr>
            <w:tcW w:w="3115" w:type="dxa"/>
            <w:gridSpan w:val="4"/>
            <w:tcBorders>
              <w:right w:val="single" w:color="auto" w:sz="12" w:space="0"/>
            </w:tcBorders>
            <w:noWrap/>
            <w:vAlign w:val="center"/>
          </w:tcPr>
          <w:p>
            <w:pPr>
              <w:adjustRightInd w:val="0"/>
              <w:snapToGrid w:val="0"/>
              <w:spacing w:line="360" w:lineRule="exact"/>
              <w:jc w:val="center"/>
              <w:rPr>
                <w:szCs w:val="21"/>
              </w:rPr>
            </w:pPr>
            <w:r>
              <w:rPr>
                <w:rFonts w:hint="eastAsia"/>
                <w:sz w:val="24"/>
              </w:rPr>
              <w:t>2019-410423-50-03-013295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建设性质</w:t>
            </w:r>
          </w:p>
        </w:tc>
        <w:tc>
          <w:tcPr>
            <w:tcW w:w="3062" w:type="dxa"/>
            <w:gridSpan w:val="4"/>
            <w:noWrap/>
            <w:vAlign w:val="center"/>
          </w:tcPr>
          <w:p>
            <w:pPr>
              <w:adjustRightInd w:val="0"/>
              <w:snapToGrid w:val="0"/>
              <w:spacing w:line="360" w:lineRule="exact"/>
              <w:jc w:val="center"/>
              <w:rPr>
                <w:sz w:val="24"/>
              </w:rPr>
            </w:pPr>
            <w:r>
              <w:rPr>
                <w:sz w:val="24"/>
              </w:rPr>
              <w:t>新建■改扩建□技改□</w:t>
            </w:r>
          </w:p>
        </w:tc>
        <w:tc>
          <w:tcPr>
            <w:tcW w:w="1313" w:type="dxa"/>
            <w:gridSpan w:val="2"/>
            <w:noWrap/>
            <w:vAlign w:val="center"/>
          </w:tcPr>
          <w:p>
            <w:pPr>
              <w:adjustRightInd w:val="0"/>
              <w:snapToGrid w:val="0"/>
              <w:spacing w:line="360" w:lineRule="exact"/>
              <w:jc w:val="center"/>
              <w:rPr>
                <w:sz w:val="24"/>
              </w:rPr>
            </w:pPr>
            <w:r>
              <w:rPr>
                <w:sz w:val="24"/>
              </w:rPr>
              <w:t>行业类别</w:t>
            </w:r>
          </w:p>
          <w:p>
            <w:pPr>
              <w:adjustRightInd w:val="0"/>
              <w:snapToGrid w:val="0"/>
              <w:spacing w:line="360" w:lineRule="exact"/>
              <w:jc w:val="center"/>
              <w:rPr>
                <w:sz w:val="24"/>
              </w:rPr>
            </w:pPr>
            <w:r>
              <w:rPr>
                <w:sz w:val="24"/>
              </w:rPr>
              <w:t>及代码</w:t>
            </w:r>
          </w:p>
        </w:tc>
        <w:tc>
          <w:tcPr>
            <w:tcW w:w="3115" w:type="dxa"/>
            <w:gridSpan w:val="4"/>
            <w:tcBorders>
              <w:right w:val="single" w:color="auto" w:sz="12" w:space="0"/>
            </w:tcBorders>
            <w:noWrap/>
            <w:vAlign w:val="center"/>
          </w:tcPr>
          <w:p>
            <w:pPr>
              <w:adjustRightInd w:val="0"/>
              <w:snapToGrid w:val="0"/>
              <w:spacing w:line="360" w:lineRule="exact"/>
              <w:jc w:val="center"/>
              <w:rPr>
                <w:sz w:val="24"/>
              </w:rPr>
            </w:pPr>
            <w:r>
              <w:rPr>
                <w:sz w:val="24"/>
              </w:rPr>
              <w:t>C</w:t>
            </w:r>
            <w:r>
              <w:rPr>
                <w:rFonts w:hint="eastAsia"/>
                <w:sz w:val="24"/>
              </w:rPr>
              <w:t>3021水泥制品制造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占地面积</w:t>
            </w:r>
          </w:p>
          <w:p>
            <w:pPr>
              <w:adjustRightInd w:val="0"/>
              <w:snapToGrid w:val="0"/>
              <w:spacing w:line="360" w:lineRule="exact"/>
              <w:jc w:val="center"/>
              <w:rPr>
                <w:sz w:val="24"/>
              </w:rPr>
            </w:pPr>
            <w:r>
              <w:rPr>
                <w:sz w:val="24"/>
              </w:rPr>
              <w:t>(平方米)</w:t>
            </w:r>
          </w:p>
        </w:tc>
        <w:tc>
          <w:tcPr>
            <w:tcW w:w="3062" w:type="dxa"/>
            <w:gridSpan w:val="4"/>
            <w:noWrap/>
            <w:vAlign w:val="center"/>
          </w:tcPr>
          <w:p>
            <w:pPr>
              <w:adjustRightInd w:val="0"/>
              <w:snapToGrid w:val="0"/>
              <w:spacing w:line="360" w:lineRule="exact"/>
              <w:jc w:val="center"/>
              <w:rPr>
                <w:sz w:val="24"/>
              </w:rPr>
            </w:pPr>
            <w:r>
              <w:rPr>
                <w:rFonts w:hint="eastAsia"/>
                <w:sz w:val="24"/>
              </w:rPr>
              <w:t>6600</w:t>
            </w:r>
          </w:p>
        </w:tc>
        <w:tc>
          <w:tcPr>
            <w:tcW w:w="1313" w:type="dxa"/>
            <w:gridSpan w:val="2"/>
            <w:noWrap/>
            <w:vAlign w:val="center"/>
          </w:tcPr>
          <w:p>
            <w:pPr>
              <w:adjustRightInd w:val="0"/>
              <w:snapToGrid w:val="0"/>
              <w:spacing w:line="360" w:lineRule="exact"/>
              <w:jc w:val="center"/>
              <w:rPr>
                <w:sz w:val="24"/>
              </w:rPr>
            </w:pPr>
            <w:r>
              <w:rPr>
                <w:sz w:val="24"/>
              </w:rPr>
              <w:t>绿化面积</w:t>
            </w:r>
          </w:p>
          <w:p>
            <w:pPr>
              <w:adjustRightInd w:val="0"/>
              <w:snapToGrid w:val="0"/>
              <w:spacing w:line="360" w:lineRule="exact"/>
              <w:jc w:val="center"/>
              <w:rPr>
                <w:sz w:val="24"/>
              </w:rPr>
            </w:pPr>
            <w:r>
              <w:rPr>
                <w:sz w:val="24"/>
              </w:rPr>
              <w:t>(平方米)</w:t>
            </w:r>
          </w:p>
        </w:tc>
        <w:tc>
          <w:tcPr>
            <w:tcW w:w="3115" w:type="dxa"/>
            <w:gridSpan w:val="4"/>
            <w:tcBorders>
              <w:right w:val="single" w:color="auto" w:sz="12" w:space="0"/>
            </w:tcBorders>
            <w:noWrap/>
            <w:vAlign w:val="center"/>
          </w:tcPr>
          <w:p>
            <w:pPr>
              <w:adjustRightInd w:val="0"/>
              <w:snapToGrid w:val="0"/>
              <w:spacing w:line="360" w:lineRule="exact"/>
              <w:jc w:val="center"/>
              <w:rPr>
                <w:sz w:val="24"/>
              </w:rPr>
            </w:pPr>
            <w:r>
              <w:rPr>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总投资</w:t>
            </w:r>
          </w:p>
          <w:p>
            <w:pPr>
              <w:adjustRightInd w:val="0"/>
              <w:snapToGrid w:val="0"/>
              <w:spacing w:line="360" w:lineRule="exact"/>
              <w:jc w:val="center"/>
              <w:rPr>
                <w:sz w:val="24"/>
              </w:rPr>
            </w:pPr>
            <w:r>
              <w:rPr>
                <w:sz w:val="24"/>
              </w:rPr>
              <w:t>(万元)</w:t>
            </w:r>
          </w:p>
        </w:tc>
        <w:tc>
          <w:tcPr>
            <w:tcW w:w="1230" w:type="dxa"/>
            <w:noWrap/>
            <w:vAlign w:val="center"/>
          </w:tcPr>
          <w:p>
            <w:pPr>
              <w:adjustRightInd w:val="0"/>
              <w:snapToGrid w:val="0"/>
              <w:spacing w:line="360" w:lineRule="exact"/>
              <w:jc w:val="center"/>
              <w:rPr>
                <w:sz w:val="24"/>
              </w:rPr>
            </w:pPr>
            <w:r>
              <w:rPr>
                <w:rFonts w:hint="eastAsia"/>
                <w:sz w:val="24"/>
              </w:rPr>
              <w:t>1</w:t>
            </w:r>
            <w:r>
              <w:rPr>
                <w:sz w:val="24"/>
              </w:rPr>
              <w:t>00</w:t>
            </w:r>
          </w:p>
        </w:tc>
        <w:tc>
          <w:tcPr>
            <w:tcW w:w="1832" w:type="dxa"/>
            <w:gridSpan w:val="3"/>
            <w:noWrap/>
            <w:vAlign w:val="center"/>
          </w:tcPr>
          <w:p>
            <w:pPr>
              <w:adjustRightInd w:val="0"/>
              <w:snapToGrid w:val="0"/>
              <w:spacing w:line="360" w:lineRule="exact"/>
              <w:jc w:val="center"/>
              <w:rPr>
                <w:sz w:val="24"/>
              </w:rPr>
            </w:pPr>
            <w:r>
              <w:rPr>
                <w:sz w:val="24"/>
              </w:rPr>
              <w:t>其中：环保投资(万元)</w:t>
            </w:r>
          </w:p>
        </w:tc>
        <w:tc>
          <w:tcPr>
            <w:tcW w:w="1313" w:type="dxa"/>
            <w:gridSpan w:val="2"/>
            <w:noWrap/>
            <w:vAlign w:val="center"/>
          </w:tcPr>
          <w:p>
            <w:pPr>
              <w:adjustRightInd w:val="0"/>
              <w:snapToGrid w:val="0"/>
              <w:spacing w:line="360" w:lineRule="exact"/>
              <w:jc w:val="center"/>
              <w:rPr>
                <w:rFonts w:hint="default" w:eastAsia="宋体"/>
                <w:color w:val="auto"/>
                <w:sz w:val="24"/>
                <w:lang w:val="en-US" w:eastAsia="zh-CN"/>
              </w:rPr>
            </w:pPr>
            <w:r>
              <w:rPr>
                <w:rFonts w:hint="eastAsia"/>
                <w:color w:val="auto"/>
                <w:sz w:val="24"/>
                <w:lang w:val="en-US" w:eastAsia="zh-CN"/>
              </w:rPr>
              <w:t>15.1</w:t>
            </w:r>
          </w:p>
        </w:tc>
        <w:tc>
          <w:tcPr>
            <w:tcW w:w="1802" w:type="dxa"/>
            <w:gridSpan w:val="3"/>
            <w:noWrap/>
            <w:vAlign w:val="center"/>
          </w:tcPr>
          <w:p>
            <w:pPr>
              <w:adjustRightInd w:val="0"/>
              <w:snapToGrid w:val="0"/>
              <w:spacing w:line="360" w:lineRule="exact"/>
              <w:jc w:val="center"/>
              <w:rPr>
                <w:color w:val="auto"/>
                <w:sz w:val="24"/>
              </w:rPr>
            </w:pPr>
            <w:r>
              <w:rPr>
                <w:color w:val="auto"/>
                <w:sz w:val="24"/>
              </w:rPr>
              <w:t>环保投资占总投资比例</w:t>
            </w:r>
          </w:p>
        </w:tc>
        <w:tc>
          <w:tcPr>
            <w:tcW w:w="1313" w:type="dxa"/>
            <w:tcBorders>
              <w:right w:val="single" w:color="auto" w:sz="12" w:space="0"/>
            </w:tcBorders>
            <w:noWrap/>
            <w:vAlign w:val="center"/>
          </w:tcPr>
          <w:p>
            <w:pPr>
              <w:adjustRightInd w:val="0"/>
              <w:snapToGrid w:val="0"/>
              <w:spacing w:line="360" w:lineRule="exact"/>
              <w:jc w:val="center"/>
              <w:rPr>
                <w:color w:val="auto"/>
                <w:sz w:val="24"/>
              </w:rPr>
            </w:pPr>
            <w:r>
              <w:rPr>
                <w:rFonts w:hint="eastAsia"/>
                <w:color w:val="auto"/>
                <w:sz w:val="24"/>
                <w:lang w:val="en-US" w:eastAsia="zh-CN"/>
              </w:rPr>
              <w:t>15.1</w:t>
            </w:r>
            <w:r>
              <w:rPr>
                <w:color w:val="auto"/>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评价经费</w:t>
            </w:r>
          </w:p>
          <w:p>
            <w:pPr>
              <w:adjustRightInd w:val="0"/>
              <w:snapToGrid w:val="0"/>
              <w:spacing w:line="360" w:lineRule="exact"/>
              <w:jc w:val="center"/>
              <w:rPr>
                <w:sz w:val="24"/>
              </w:rPr>
            </w:pPr>
            <w:r>
              <w:rPr>
                <w:sz w:val="24"/>
              </w:rPr>
              <w:t>(万元)</w:t>
            </w:r>
          </w:p>
        </w:tc>
        <w:tc>
          <w:tcPr>
            <w:tcW w:w="1230" w:type="dxa"/>
            <w:noWrap/>
            <w:vAlign w:val="center"/>
          </w:tcPr>
          <w:p>
            <w:pPr>
              <w:adjustRightInd w:val="0"/>
              <w:snapToGrid w:val="0"/>
              <w:spacing w:line="360" w:lineRule="exact"/>
              <w:jc w:val="center"/>
              <w:rPr>
                <w:sz w:val="24"/>
              </w:rPr>
            </w:pPr>
            <w:r>
              <w:rPr>
                <w:sz w:val="24"/>
              </w:rPr>
              <w:t>/</w:t>
            </w:r>
          </w:p>
        </w:tc>
        <w:tc>
          <w:tcPr>
            <w:tcW w:w="1832" w:type="dxa"/>
            <w:gridSpan w:val="3"/>
            <w:noWrap/>
            <w:vAlign w:val="center"/>
          </w:tcPr>
          <w:p>
            <w:pPr>
              <w:adjustRightInd w:val="0"/>
              <w:snapToGrid w:val="0"/>
              <w:spacing w:line="360" w:lineRule="exact"/>
              <w:jc w:val="center"/>
              <w:rPr>
                <w:sz w:val="24"/>
              </w:rPr>
            </w:pPr>
            <w:r>
              <w:rPr>
                <w:sz w:val="24"/>
              </w:rPr>
              <w:t>预期投产日期</w:t>
            </w:r>
          </w:p>
        </w:tc>
        <w:tc>
          <w:tcPr>
            <w:tcW w:w="4428" w:type="dxa"/>
            <w:gridSpan w:val="6"/>
            <w:tcBorders>
              <w:right w:val="single" w:color="auto" w:sz="12" w:space="0"/>
            </w:tcBorders>
            <w:noWrap/>
            <w:vAlign w:val="center"/>
          </w:tcPr>
          <w:p>
            <w:pPr>
              <w:adjustRightInd w:val="0"/>
              <w:snapToGrid w:val="0"/>
              <w:spacing w:line="360" w:lineRule="exact"/>
              <w:jc w:val="center"/>
              <w:rPr>
                <w:sz w:val="24"/>
              </w:rPr>
            </w:pPr>
            <w:r>
              <w:rPr>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9206" w:type="dxa"/>
            <w:gridSpan w:val="11"/>
            <w:tcBorders>
              <w:left w:val="single" w:color="auto" w:sz="12" w:space="0"/>
              <w:bottom w:val="single" w:color="auto" w:sz="12" w:space="0"/>
              <w:right w:val="single" w:color="auto" w:sz="12" w:space="0"/>
            </w:tcBorders>
            <w:noWrap/>
            <w:vAlign w:val="center"/>
          </w:tcPr>
          <w:p>
            <w:pPr>
              <w:spacing w:line="520" w:lineRule="exact"/>
              <w:rPr>
                <w:b/>
                <w:sz w:val="24"/>
              </w:rPr>
            </w:pPr>
            <w:r>
              <w:rPr>
                <w:b/>
                <w:sz w:val="24"/>
              </w:rPr>
              <w:t>工程内容及规模：</w:t>
            </w:r>
          </w:p>
          <w:p>
            <w:pPr>
              <w:spacing w:line="520" w:lineRule="exact"/>
              <w:ind w:firstLine="480" w:firstLineChars="200"/>
              <w:rPr>
                <w:rFonts w:eastAsia="黑体"/>
                <w:sz w:val="24"/>
              </w:rPr>
            </w:pPr>
            <w:r>
              <w:rPr>
                <w:rFonts w:eastAsia="黑体"/>
                <w:sz w:val="24"/>
              </w:rPr>
              <w:t>一、项目由来</w:t>
            </w:r>
          </w:p>
          <w:p>
            <w:pPr>
              <w:spacing w:line="520" w:lineRule="exact"/>
              <w:ind w:firstLine="480" w:firstLineChars="200"/>
              <w:rPr>
                <w:sz w:val="24"/>
              </w:rPr>
            </w:pPr>
            <w:r>
              <w:rPr>
                <w:rFonts w:hint="eastAsia"/>
                <w:sz w:val="24"/>
              </w:rPr>
              <w:t>平顶山市定坤水泥制品有限公司</w:t>
            </w:r>
            <w:r>
              <w:rPr>
                <w:sz w:val="24"/>
              </w:rPr>
              <w:t>拟投资</w:t>
            </w:r>
            <w:r>
              <w:rPr>
                <w:rFonts w:hint="eastAsia"/>
                <w:sz w:val="24"/>
              </w:rPr>
              <w:t>1</w:t>
            </w:r>
            <w:r>
              <w:rPr>
                <w:sz w:val="24"/>
              </w:rPr>
              <w:t>00万元，在</w:t>
            </w:r>
            <w:r>
              <w:rPr>
                <w:rFonts w:hint="eastAsia"/>
                <w:sz w:val="24"/>
              </w:rPr>
              <w:t>平顶山市鲁山县张良镇工业园区西南角</w:t>
            </w:r>
            <w:r>
              <w:rPr>
                <w:sz w:val="24"/>
              </w:rPr>
              <w:t>建设</w:t>
            </w:r>
            <w:r>
              <w:rPr>
                <w:rFonts w:hint="eastAsia"/>
                <w:sz w:val="24"/>
              </w:rPr>
              <w:t>平顶山市定坤水泥制品有限公司生产，加工水泥制品项目</w:t>
            </w:r>
            <w:r>
              <w:rPr>
                <w:sz w:val="24"/>
              </w:rPr>
              <w:t>。项目占地面积</w:t>
            </w:r>
            <w:r>
              <w:rPr>
                <w:rFonts w:hint="eastAsia"/>
                <w:sz w:val="24"/>
              </w:rPr>
              <w:t>6600平方米，建成后年产水泥砖及各类水泥制品2000万块（标准砖），以马路</w:t>
            </w:r>
            <w:r>
              <w:rPr>
                <w:sz w:val="24"/>
              </w:rPr>
              <w:t>透水砖、市政工程用砖</w:t>
            </w:r>
            <w:r>
              <w:rPr>
                <w:rFonts w:hint="eastAsia"/>
                <w:sz w:val="24"/>
              </w:rPr>
              <w:t>为主</w:t>
            </w:r>
            <w:r>
              <w:rPr>
                <w:sz w:val="24"/>
              </w:rPr>
              <w:t>。</w:t>
            </w:r>
          </w:p>
          <w:p>
            <w:pPr>
              <w:spacing w:line="520" w:lineRule="exact"/>
              <w:ind w:firstLine="480" w:firstLineChars="200"/>
              <w:rPr>
                <w:sz w:val="24"/>
              </w:rPr>
            </w:pPr>
            <w:r>
              <w:rPr>
                <w:rFonts w:hint="default"/>
                <w:sz w:val="24"/>
                <w:szCs w:val="24"/>
                <w:lang w:val="zh-CN" w:eastAsia="zh-CN"/>
              </w:rPr>
              <w:t>根据《建设项目环境影响评价分类管理名录</w:t>
            </w:r>
            <w:r>
              <w:rPr>
                <w:rFonts w:hint="eastAsia"/>
                <w:sz w:val="24"/>
                <w:szCs w:val="24"/>
                <w:lang w:val="zh-CN" w:eastAsia="zh-CN"/>
              </w:rPr>
              <w:t>（</w:t>
            </w:r>
            <w:r>
              <w:rPr>
                <w:rFonts w:hint="eastAsia"/>
                <w:sz w:val="24"/>
                <w:szCs w:val="24"/>
                <w:lang w:val="en-US" w:eastAsia="zh-CN"/>
              </w:rPr>
              <w:t>2021年版</w:t>
            </w:r>
            <w:r>
              <w:rPr>
                <w:rFonts w:hint="eastAsia"/>
                <w:sz w:val="24"/>
                <w:szCs w:val="24"/>
                <w:lang w:val="zh-CN" w:eastAsia="zh-CN"/>
              </w:rPr>
              <w:t>）</w:t>
            </w:r>
            <w:r>
              <w:rPr>
                <w:rFonts w:hint="default"/>
                <w:sz w:val="24"/>
                <w:szCs w:val="24"/>
                <w:lang w:val="zh-CN" w:eastAsia="zh-CN"/>
              </w:rPr>
              <w:t>》（中华人民共和国</w:t>
            </w:r>
            <w:r>
              <w:rPr>
                <w:rFonts w:hint="eastAsia"/>
                <w:sz w:val="24"/>
                <w:szCs w:val="24"/>
                <w:lang w:val="zh-CN" w:eastAsia="zh-CN"/>
              </w:rPr>
              <w:t>生态环境部</w:t>
            </w:r>
            <w:r>
              <w:rPr>
                <w:rFonts w:hint="eastAsia"/>
                <w:sz w:val="24"/>
                <w:szCs w:val="24"/>
                <w:lang w:val="en-US" w:eastAsia="zh-CN"/>
              </w:rPr>
              <w:t xml:space="preserve"> </w:t>
            </w:r>
            <w:r>
              <w:rPr>
                <w:rFonts w:hint="default"/>
                <w:sz w:val="24"/>
                <w:szCs w:val="24"/>
                <w:lang w:val="zh-CN" w:eastAsia="zh-CN"/>
              </w:rPr>
              <w:t>部令第</w:t>
            </w:r>
            <w:r>
              <w:rPr>
                <w:rFonts w:hint="eastAsia"/>
                <w:sz w:val="24"/>
                <w:szCs w:val="24"/>
                <w:lang w:val="en-US" w:eastAsia="zh-CN"/>
              </w:rPr>
              <w:t>16</w:t>
            </w:r>
            <w:r>
              <w:rPr>
                <w:rFonts w:hint="default"/>
                <w:sz w:val="24"/>
                <w:szCs w:val="24"/>
                <w:lang w:val="zh-CN" w:eastAsia="zh-CN"/>
              </w:rPr>
              <w:t>号）</w:t>
            </w:r>
            <w:r>
              <w:rPr>
                <w:rFonts w:hint="eastAsia"/>
                <w:sz w:val="24"/>
                <w:szCs w:val="24"/>
                <w:lang w:val="zh-CN" w:eastAsia="zh-CN"/>
              </w:rPr>
              <w:t>的相关规定</w:t>
            </w:r>
            <w:r>
              <w:rPr>
                <w:sz w:val="24"/>
                <w:szCs w:val="24"/>
              </w:rPr>
              <w:t>，</w:t>
            </w:r>
            <w:r>
              <w:rPr>
                <w:kern w:val="0"/>
                <w:sz w:val="24"/>
              </w:rPr>
              <w:t>本项目</w:t>
            </w:r>
            <w:r>
              <w:rPr>
                <w:sz w:val="24"/>
              </w:rPr>
              <w:t>马路透水砖、市政工程用砖</w:t>
            </w:r>
            <w:r>
              <w:rPr>
                <w:kern w:val="0"/>
                <w:sz w:val="24"/>
              </w:rPr>
              <w:t>属于</w:t>
            </w:r>
            <w:r>
              <w:rPr>
                <w:rFonts w:hint="eastAsia"/>
                <w:sz w:val="24"/>
                <w:lang w:eastAsia="zh-CN"/>
              </w:rPr>
              <w:t>“</w:t>
            </w:r>
            <w:r>
              <w:rPr>
                <w:rFonts w:hint="eastAsia"/>
                <w:sz w:val="24"/>
                <w:szCs w:val="24"/>
                <w:lang w:val="zh-CN" w:eastAsia="zh-CN"/>
              </w:rPr>
              <w:t>二十七、非金属矿物制品业</w:t>
            </w:r>
            <w:r>
              <w:rPr>
                <w:sz w:val="24"/>
              </w:rPr>
              <w:t>，</w:t>
            </w:r>
            <w:r>
              <w:rPr>
                <w:rFonts w:hint="eastAsia"/>
                <w:sz w:val="24"/>
                <w:lang w:val="en-US" w:eastAsia="zh-CN"/>
              </w:rPr>
              <w:t>55</w:t>
            </w:r>
            <w:r>
              <w:rPr>
                <w:sz w:val="24"/>
              </w:rPr>
              <w:t>、石膏</w:t>
            </w:r>
            <w:r>
              <w:rPr>
                <w:rFonts w:hint="eastAsia"/>
                <w:sz w:val="24"/>
                <w:lang w:eastAsia="zh-CN"/>
              </w:rPr>
              <w:t>、水泥制品及类似制品制造</w:t>
            </w:r>
            <w:r>
              <w:rPr>
                <w:rFonts w:hint="eastAsia"/>
                <w:sz w:val="24"/>
                <w:lang w:val="en-US" w:eastAsia="zh-CN"/>
              </w:rPr>
              <w:t>302</w:t>
            </w:r>
            <w:r>
              <w:rPr>
                <w:rFonts w:hint="eastAsia"/>
                <w:sz w:val="24"/>
                <w:lang w:eastAsia="zh-CN"/>
              </w:rPr>
              <w:t>”中“水泥制品制造”</w:t>
            </w:r>
            <w:r>
              <w:rPr>
                <w:sz w:val="24"/>
              </w:rPr>
              <w:t>，应编制环境影响评价报告表</w:t>
            </w:r>
            <w:r>
              <w:rPr>
                <w:rFonts w:hint="eastAsia"/>
                <w:sz w:val="24"/>
              </w:rPr>
              <w:t>，</w:t>
            </w:r>
            <w:r>
              <w:rPr>
                <w:sz w:val="24"/>
              </w:rPr>
              <w:t>故本次评价编制环境影响评价报告表。</w:t>
            </w:r>
          </w:p>
          <w:p>
            <w:pPr>
              <w:spacing w:line="520" w:lineRule="exact"/>
              <w:ind w:firstLine="480" w:firstLineChars="200"/>
              <w:rPr>
                <w:sz w:val="24"/>
              </w:rPr>
            </w:pPr>
            <w:r>
              <w:rPr>
                <w:rFonts w:hint="eastAsia"/>
                <w:sz w:val="24"/>
              </w:rPr>
              <w:t>平顶山市定坤水泥制品有限公司</w:t>
            </w:r>
            <w:r>
              <w:rPr>
                <w:sz w:val="24"/>
              </w:rPr>
              <w:t>委托我公司承担该项目的环境影响评价工作（详见附件1）。接受委托后，我公司技术人员对工程所在区域环境进行调查，对项目建设的环境影响及厂址选择的合理性进行分析，并提出合理可行的对策措施，编制完成了本环境影响报告表。</w:t>
            </w:r>
          </w:p>
          <w:p>
            <w:pPr>
              <w:spacing w:line="520" w:lineRule="exact"/>
              <w:ind w:firstLine="480" w:firstLineChars="200"/>
              <w:rPr>
                <w:sz w:val="24"/>
              </w:rPr>
            </w:pPr>
            <w:r>
              <w:rPr>
                <w:color w:val="auto"/>
                <w:sz w:val="24"/>
              </w:rPr>
              <w:t>根据现场踏勘，</w:t>
            </w:r>
            <w:r>
              <w:rPr>
                <w:rFonts w:hint="eastAsia"/>
                <w:color w:val="auto"/>
                <w:sz w:val="24"/>
                <w:lang w:eastAsia="zh-CN"/>
              </w:rPr>
              <w:t>项目租用原废弃的家具厂闲置生产车间进行生产</w:t>
            </w:r>
            <w:r>
              <w:rPr>
                <w:color w:val="auto"/>
                <w:sz w:val="24"/>
              </w:rPr>
              <w:t>。本</w:t>
            </w:r>
            <w:r>
              <w:rPr>
                <w:sz w:val="24"/>
              </w:rPr>
              <w:t>次评价对象为“</w:t>
            </w:r>
            <w:r>
              <w:rPr>
                <w:rFonts w:hint="eastAsia"/>
                <w:sz w:val="24"/>
              </w:rPr>
              <w:t>平顶山市定坤水泥制品有限公司生产，加工水泥制品项目</w:t>
            </w:r>
            <w:r>
              <w:rPr>
                <w:sz w:val="24"/>
              </w:rPr>
              <w:t>”，项目基本情况见表1。</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w:t>
            </w:r>
            <w:r>
              <w:rPr>
                <w:rFonts w:eastAsia="黑体"/>
                <w:kern w:val="0"/>
                <w:sz w:val="24"/>
                <w:lang w:val="zh-CN"/>
              </w:rPr>
              <w:t xml:space="preserve">                     拟建项目基本情况一览表</w:t>
            </w:r>
          </w:p>
          <w:tbl>
            <w:tblPr>
              <w:tblStyle w:val="32"/>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189"/>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序号</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项目</w:t>
                  </w:r>
                </w:p>
              </w:tc>
              <w:tc>
                <w:tcPr>
                  <w:tcW w:w="5920" w:type="dxa"/>
                  <w:noWrap/>
                  <w:vAlign w:val="center"/>
                </w:tcPr>
                <w:p>
                  <w:pPr>
                    <w:autoSpaceDE w:val="0"/>
                    <w:autoSpaceDN w:val="0"/>
                    <w:adjustRightInd w:val="0"/>
                    <w:spacing w:line="360" w:lineRule="exact"/>
                    <w:jc w:val="center"/>
                    <w:rPr>
                      <w:kern w:val="0"/>
                      <w:szCs w:val="21"/>
                      <w:lang w:val="zh-CN"/>
                    </w:rPr>
                  </w:pPr>
                  <w:r>
                    <w:rPr>
                      <w:kern w:val="0"/>
                      <w:szCs w:val="21"/>
                      <w:lang w:val="zh-CN"/>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1</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项目名称</w:t>
                  </w:r>
                </w:p>
              </w:tc>
              <w:tc>
                <w:tcPr>
                  <w:tcW w:w="5920"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平顶山市定坤水泥制品有限公司生产，加工水泥制品项目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rPr>
                    <w:t>2</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建设性质</w:t>
                  </w:r>
                </w:p>
              </w:tc>
              <w:tc>
                <w:tcPr>
                  <w:tcW w:w="5920" w:type="dxa"/>
                  <w:noWrap/>
                  <w:vAlign w:val="center"/>
                </w:tcPr>
                <w:p>
                  <w:pPr>
                    <w:autoSpaceDE w:val="0"/>
                    <w:autoSpaceDN w:val="0"/>
                    <w:adjustRightInd w:val="0"/>
                    <w:spacing w:line="360" w:lineRule="exact"/>
                    <w:jc w:val="center"/>
                    <w:rPr>
                      <w:kern w:val="0"/>
                      <w:szCs w:val="21"/>
                      <w:lang w:val="zh-CN"/>
                    </w:rPr>
                  </w:pPr>
                  <w:r>
                    <w:rPr>
                      <w:kern w:val="0"/>
                      <w:szCs w:val="21"/>
                      <w:lang w:val="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3</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建设单位</w:t>
                  </w:r>
                </w:p>
              </w:tc>
              <w:tc>
                <w:tcPr>
                  <w:tcW w:w="5920"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tcBorders>
                    <w:bottom w:val="single" w:color="auto" w:sz="4" w:space="0"/>
                  </w:tcBorders>
                  <w:noWrap/>
                  <w:vAlign w:val="center"/>
                </w:tcPr>
                <w:p>
                  <w:pPr>
                    <w:autoSpaceDE w:val="0"/>
                    <w:autoSpaceDN w:val="0"/>
                    <w:adjustRightInd w:val="0"/>
                    <w:spacing w:line="360" w:lineRule="exact"/>
                    <w:jc w:val="center"/>
                    <w:rPr>
                      <w:kern w:val="0"/>
                      <w:szCs w:val="21"/>
                    </w:rPr>
                  </w:pPr>
                  <w:r>
                    <w:rPr>
                      <w:kern w:val="0"/>
                      <w:szCs w:val="21"/>
                      <w:lang w:val="zh-CN"/>
                    </w:rPr>
                    <w:t>4</w:t>
                  </w:r>
                </w:p>
              </w:tc>
              <w:tc>
                <w:tcPr>
                  <w:tcW w:w="2189" w:type="dxa"/>
                  <w:tcBorders>
                    <w:bottom w:val="single" w:color="auto" w:sz="4" w:space="0"/>
                  </w:tcBorders>
                  <w:noWrap/>
                  <w:vAlign w:val="center"/>
                </w:tcPr>
                <w:p>
                  <w:pPr>
                    <w:autoSpaceDE w:val="0"/>
                    <w:autoSpaceDN w:val="0"/>
                    <w:adjustRightInd w:val="0"/>
                    <w:spacing w:line="360" w:lineRule="exact"/>
                    <w:jc w:val="center"/>
                    <w:rPr>
                      <w:kern w:val="0"/>
                      <w:szCs w:val="21"/>
                      <w:lang w:val="zh-CN"/>
                    </w:rPr>
                  </w:pPr>
                  <w:r>
                    <w:rPr>
                      <w:kern w:val="0"/>
                      <w:szCs w:val="21"/>
                      <w:lang w:val="zh-CN"/>
                    </w:rPr>
                    <w:t>项目规模</w:t>
                  </w:r>
                </w:p>
              </w:tc>
              <w:tc>
                <w:tcPr>
                  <w:tcW w:w="5920" w:type="dxa"/>
                  <w:tcBorders>
                    <w:bottom w:val="single" w:color="auto" w:sz="4" w:space="0"/>
                  </w:tcBorders>
                  <w:noWrap/>
                  <w:vAlign w:val="center"/>
                </w:tcPr>
                <w:p>
                  <w:pPr>
                    <w:autoSpaceDE w:val="0"/>
                    <w:autoSpaceDN w:val="0"/>
                    <w:adjustRightInd w:val="0"/>
                    <w:spacing w:line="360" w:lineRule="exact"/>
                    <w:jc w:val="center"/>
                    <w:rPr>
                      <w:kern w:val="0"/>
                      <w:szCs w:val="21"/>
                      <w:lang w:val="zh-CN"/>
                    </w:rPr>
                  </w:pPr>
                  <w:r>
                    <w:rPr>
                      <w:kern w:val="0"/>
                      <w:szCs w:val="21"/>
                      <w:lang w:val="zh-CN"/>
                    </w:rPr>
                    <w:t>年产</w:t>
                  </w:r>
                  <w:r>
                    <w:rPr>
                      <w:rFonts w:hint="eastAsia"/>
                      <w:kern w:val="0"/>
                      <w:szCs w:val="21"/>
                    </w:rPr>
                    <w:t>20</w:t>
                  </w:r>
                  <w:r>
                    <w:rPr>
                      <w:kern w:val="0"/>
                      <w:szCs w:val="21"/>
                      <w:lang w:val="zh-CN"/>
                    </w:rPr>
                    <w:t>00万块</w:t>
                  </w:r>
                  <w:r>
                    <w:rPr>
                      <w:rFonts w:hint="eastAsia"/>
                      <w:kern w:val="0"/>
                      <w:szCs w:val="21"/>
                      <w:lang w:val="zh-CN"/>
                    </w:rPr>
                    <w:t>水泥砖（</w:t>
                  </w:r>
                  <w:r>
                    <w:rPr>
                      <w:kern w:val="0"/>
                      <w:szCs w:val="21"/>
                      <w:lang w:val="zh-CN"/>
                    </w:rPr>
                    <w:t>马路透水砖、市政工程用砖</w:t>
                  </w:r>
                  <w:r>
                    <w:rPr>
                      <w:rFonts w:hint="eastAsia"/>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5</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占地面积</w:t>
                  </w:r>
                </w:p>
              </w:tc>
              <w:tc>
                <w:tcPr>
                  <w:tcW w:w="5920" w:type="dxa"/>
                  <w:noWrap/>
                  <w:vAlign w:val="center"/>
                </w:tcPr>
                <w:p>
                  <w:pPr>
                    <w:autoSpaceDE w:val="0"/>
                    <w:autoSpaceDN w:val="0"/>
                    <w:adjustRightInd w:val="0"/>
                    <w:spacing w:line="360" w:lineRule="exact"/>
                    <w:jc w:val="center"/>
                    <w:rPr>
                      <w:kern w:val="0"/>
                      <w:szCs w:val="21"/>
                    </w:rPr>
                  </w:pPr>
                  <w:r>
                    <w:rPr>
                      <w:rFonts w:hint="eastAsia"/>
                      <w:kern w:val="0"/>
                      <w:szCs w:val="21"/>
                    </w:rPr>
                    <w:t>10</w:t>
                  </w:r>
                  <w:r>
                    <w:rPr>
                      <w:kern w:val="0"/>
                      <w:szCs w:val="21"/>
                    </w:rPr>
                    <w:t>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6</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项目投资</w:t>
                  </w:r>
                </w:p>
              </w:tc>
              <w:tc>
                <w:tcPr>
                  <w:tcW w:w="5920" w:type="dxa"/>
                  <w:noWrap/>
                  <w:vAlign w:val="center"/>
                </w:tcPr>
                <w:p>
                  <w:pPr>
                    <w:autoSpaceDE w:val="0"/>
                    <w:autoSpaceDN w:val="0"/>
                    <w:adjustRightInd w:val="0"/>
                    <w:spacing w:line="360" w:lineRule="exact"/>
                    <w:jc w:val="center"/>
                    <w:rPr>
                      <w:kern w:val="0"/>
                      <w:szCs w:val="21"/>
                    </w:rPr>
                  </w:pPr>
                  <w:r>
                    <w:rPr>
                      <w:rFonts w:hint="eastAsia"/>
                      <w:kern w:val="0"/>
                      <w:szCs w:val="21"/>
                    </w:rPr>
                    <w:t>1</w:t>
                  </w:r>
                  <w:r>
                    <w:rPr>
                      <w:kern w:val="0"/>
                      <w:szCs w:val="21"/>
                    </w:rPr>
                    <w:t>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7</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劳动定员</w:t>
                  </w:r>
                  <w:r>
                    <w:rPr>
                      <w:kern w:val="0"/>
                      <w:szCs w:val="21"/>
                    </w:rPr>
                    <w:t>及工作制度</w:t>
                  </w:r>
                </w:p>
              </w:tc>
              <w:tc>
                <w:tcPr>
                  <w:tcW w:w="5920" w:type="dxa"/>
                  <w:noWrap/>
                  <w:vAlign w:val="center"/>
                </w:tcPr>
                <w:p>
                  <w:pPr>
                    <w:autoSpaceDE w:val="0"/>
                    <w:autoSpaceDN w:val="0"/>
                    <w:adjustRightInd w:val="0"/>
                    <w:spacing w:line="360" w:lineRule="exact"/>
                    <w:jc w:val="center"/>
                    <w:rPr>
                      <w:kern w:val="0"/>
                      <w:szCs w:val="21"/>
                      <w:lang w:val="zh-CN"/>
                    </w:rPr>
                  </w:pPr>
                  <w:r>
                    <w:rPr>
                      <w:kern w:val="0"/>
                      <w:szCs w:val="21"/>
                      <w:lang w:val="zh-CN"/>
                    </w:rPr>
                    <w:t>劳动定员</w:t>
                  </w:r>
                  <w:r>
                    <w:rPr>
                      <w:rFonts w:hint="eastAsia"/>
                      <w:kern w:val="0"/>
                      <w:szCs w:val="21"/>
                    </w:rPr>
                    <w:t>7</w:t>
                  </w:r>
                  <w:r>
                    <w:rPr>
                      <w:kern w:val="0"/>
                      <w:szCs w:val="21"/>
                    </w:rPr>
                    <w:t>人，年工作300天（有效时间2400h），8小时工作制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lang w:val="zh-CN"/>
                    </w:rPr>
                  </w:pPr>
                  <w:r>
                    <w:rPr>
                      <w:kern w:val="0"/>
                      <w:szCs w:val="21"/>
                      <w:lang w:val="zh-CN"/>
                    </w:rPr>
                    <w:t>8</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现状建设情况</w:t>
                  </w:r>
                </w:p>
              </w:tc>
              <w:tc>
                <w:tcPr>
                  <w:tcW w:w="5920"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租用现有厂房进行建设</w:t>
                  </w:r>
                </w:p>
              </w:tc>
            </w:tr>
          </w:tbl>
          <w:p>
            <w:pPr>
              <w:spacing w:line="520" w:lineRule="exact"/>
              <w:ind w:firstLine="480" w:firstLineChars="200"/>
              <w:rPr>
                <w:rFonts w:eastAsia="黑体"/>
                <w:sz w:val="24"/>
              </w:rPr>
            </w:pPr>
            <w:r>
              <w:rPr>
                <w:rFonts w:eastAsia="黑体"/>
                <w:sz w:val="24"/>
              </w:rPr>
              <w:t>二、产业政策相符性分析</w:t>
            </w:r>
          </w:p>
          <w:p>
            <w:pPr>
              <w:spacing w:line="520" w:lineRule="exact"/>
              <w:ind w:firstLine="480" w:firstLineChars="200"/>
              <w:rPr>
                <w:sz w:val="24"/>
              </w:rPr>
            </w:pPr>
            <w:r>
              <w:rPr>
                <w:sz w:val="24"/>
              </w:rPr>
              <w:t>经查国家发改委第2</w:t>
            </w:r>
            <w:r>
              <w:rPr>
                <w:rFonts w:hint="eastAsia"/>
                <w:sz w:val="24"/>
                <w:lang w:val="en-US" w:eastAsia="zh-CN"/>
              </w:rPr>
              <w:t>9</w:t>
            </w:r>
            <w:r>
              <w:rPr>
                <w:sz w:val="24"/>
              </w:rPr>
              <w:t>号令《产业结构调整指导目录（201</w:t>
            </w:r>
            <w:r>
              <w:rPr>
                <w:rFonts w:hint="eastAsia"/>
                <w:sz w:val="24"/>
                <w:lang w:val="en-US" w:eastAsia="zh-CN"/>
              </w:rPr>
              <w:t>9</w:t>
            </w:r>
            <w:r>
              <w:rPr>
                <w:sz w:val="24"/>
              </w:rPr>
              <w:t>年本）》，本项目不属于“</w:t>
            </w:r>
            <w:r>
              <w:rPr>
                <w:rFonts w:hint="eastAsia"/>
                <w:sz w:val="24"/>
                <w:lang w:eastAsia="zh-CN"/>
              </w:rPr>
              <w:t>限制</w:t>
            </w:r>
            <w:r>
              <w:rPr>
                <w:sz w:val="24"/>
              </w:rPr>
              <w:t>类”及“淘汰类”项目，本项目设备、产品及规模均不在限制类和淘汰类的范畴，根据《促进产业结构调整暂行规定》，属允许类；项目不在《限制用地项目目录（2012年本）和《禁止用地项目目录（2012年本》的限制、禁止用地项目目录之列；且本项目工艺装备和产品不在《部分工业行业淘汰落后生产工艺装备和产品指导目录（2010年本）》之列。本项目已取得</w:t>
            </w:r>
            <w:r>
              <w:rPr>
                <w:rFonts w:hint="eastAsia"/>
                <w:sz w:val="24"/>
              </w:rPr>
              <w:t>鲁山县发展和改革委员会</w:t>
            </w:r>
            <w:r>
              <w:rPr>
                <w:sz w:val="24"/>
              </w:rPr>
              <w:t>立项批复，批准文号为</w:t>
            </w:r>
            <w:r>
              <w:rPr>
                <w:rFonts w:hint="eastAsia"/>
                <w:sz w:val="24"/>
              </w:rPr>
              <w:t>2019-410423-50-03-013295</w:t>
            </w:r>
            <w:r>
              <w:rPr>
                <w:sz w:val="24"/>
              </w:rPr>
              <w:t>，备案文件见附件2，因此本项目的建设符合国家的产业政策。项目建设情况与备案相符性详见表2。</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w:t>
            </w:r>
            <w:r>
              <w:rPr>
                <w:rFonts w:eastAsia="黑体"/>
                <w:kern w:val="0"/>
                <w:sz w:val="24"/>
                <w:lang w:val="zh-CN"/>
              </w:rPr>
              <w:t xml:space="preserve">                  项目建设情况与备案相符性</w:t>
            </w:r>
          </w:p>
          <w:tbl>
            <w:tblPr>
              <w:tblStyle w:val="32"/>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415"/>
              <w:gridCol w:w="341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类别</w:t>
                  </w:r>
                </w:p>
              </w:tc>
              <w:tc>
                <w:tcPr>
                  <w:tcW w:w="3415" w:type="dxa"/>
                  <w:noWrap/>
                  <w:vAlign w:val="center"/>
                </w:tcPr>
                <w:p>
                  <w:pPr>
                    <w:autoSpaceDE w:val="0"/>
                    <w:autoSpaceDN w:val="0"/>
                    <w:adjustRightInd w:val="0"/>
                    <w:spacing w:line="360" w:lineRule="exact"/>
                    <w:jc w:val="center"/>
                    <w:rPr>
                      <w:kern w:val="0"/>
                      <w:szCs w:val="21"/>
                      <w:lang w:val="zh-CN"/>
                    </w:rPr>
                  </w:pPr>
                  <w:r>
                    <w:rPr>
                      <w:kern w:val="0"/>
                      <w:szCs w:val="21"/>
                      <w:lang w:val="zh-CN"/>
                    </w:rPr>
                    <w:t>备案内容</w:t>
                  </w:r>
                </w:p>
              </w:tc>
              <w:tc>
                <w:tcPr>
                  <w:tcW w:w="3411" w:type="dxa"/>
                  <w:noWrap/>
                  <w:vAlign w:val="center"/>
                </w:tcPr>
                <w:p>
                  <w:pPr>
                    <w:autoSpaceDE w:val="0"/>
                    <w:autoSpaceDN w:val="0"/>
                    <w:adjustRightInd w:val="0"/>
                    <w:spacing w:line="360" w:lineRule="exact"/>
                    <w:jc w:val="center"/>
                    <w:rPr>
                      <w:kern w:val="0"/>
                      <w:szCs w:val="21"/>
                      <w:lang w:val="zh-CN"/>
                    </w:rPr>
                  </w:pPr>
                  <w:r>
                    <w:rPr>
                      <w:kern w:val="0"/>
                      <w:szCs w:val="21"/>
                      <w:lang w:val="zh-CN"/>
                    </w:rPr>
                    <w:t>项目建设内容</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项目名称</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平顶山市定坤水泥制品有限公司生产，加工水泥制品项目</w:t>
                  </w:r>
                </w:p>
              </w:tc>
              <w:tc>
                <w:tcPr>
                  <w:tcW w:w="341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平顶山市定坤水泥制品有限公司生产，加工水泥制品项目</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厂址</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平顶山市鲁山县张良镇工业园区西南角</w:t>
                  </w:r>
                </w:p>
              </w:tc>
              <w:tc>
                <w:tcPr>
                  <w:tcW w:w="341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平顶山市鲁山县张良镇工业园区西南角</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投资</w:t>
                  </w:r>
                </w:p>
              </w:tc>
              <w:tc>
                <w:tcPr>
                  <w:tcW w:w="3415" w:type="dxa"/>
                  <w:noWrap/>
                  <w:vAlign w:val="center"/>
                </w:tcPr>
                <w:p>
                  <w:pPr>
                    <w:autoSpaceDE w:val="0"/>
                    <w:autoSpaceDN w:val="0"/>
                    <w:adjustRightInd w:val="0"/>
                    <w:spacing w:line="360" w:lineRule="exact"/>
                    <w:jc w:val="center"/>
                    <w:rPr>
                      <w:kern w:val="0"/>
                      <w:szCs w:val="21"/>
                    </w:rPr>
                  </w:pPr>
                  <w:r>
                    <w:rPr>
                      <w:rFonts w:hint="eastAsia"/>
                      <w:kern w:val="0"/>
                      <w:szCs w:val="21"/>
                    </w:rPr>
                    <w:t>1</w:t>
                  </w:r>
                  <w:r>
                    <w:rPr>
                      <w:kern w:val="0"/>
                      <w:szCs w:val="21"/>
                    </w:rPr>
                    <w:t>00万元</w:t>
                  </w:r>
                </w:p>
              </w:tc>
              <w:tc>
                <w:tcPr>
                  <w:tcW w:w="3411" w:type="dxa"/>
                  <w:noWrap/>
                  <w:vAlign w:val="center"/>
                </w:tcPr>
                <w:p>
                  <w:pPr>
                    <w:autoSpaceDE w:val="0"/>
                    <w:autoSpaceDN w:val="0"/>
                    <w:adjustRightInd w:val="0"/>
                    <w:spacing w:line="360" w:lineRule="exact"/>
                    <w:jc w:val="center"/>
                    <w:rPr>
                      <w:kern w:val="0"/>
                      <w:szCs w:val="21"/>
                    </w:rPr>
                  </w:pPr>
                  <w:r>
                    <w:rPr>
                      <w:rFonts w:hint="eastAsia"/>
                      <w:kern w:val="0"/>
                      <w:szCs w:val="21"/>
                    </w:rPr>
                    <w:t>1</w:t>
                  </w:r>
                  <w:r>
                    <w:rPr>
                      <w:kern w:val="0"/>
                      <w:szCs w:val="21"/>
                    </w:rPr>
                    <w:t>00万元</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产品方案</w:t>
                  </w:r>
                </w:p>
              </w:tc>
              <w:tc>
                <w:tcPr>
                  <w:tcW w:w="3415" w:type="dxa"/>
                  <w:noWrap/>
                  <w:vAlign w:val="center"/>
                </w:tcPr>
                <w:p>
                  <w:pPr>
                    <w:autoSpaceDE w:val="0"/>
                    <w:autoSpaceDN w:val="0"/>
                    <w:adjustRightInd w:val="0"/>
                    <w:spacing w:line="360" w:lineRule="exact"/>
                    <w:jc w:val="center"/>
                    <w:rPr>
                      <w:kern w:val="0"/>
                      <w:szCs w:val="21"/>
                      <w:lang w:val="zh-CN"/>
                    </w:rPr>
                  </w:pPr>
                  <w:r>
                    <w:rPr>
                      <w:kern w:val="0"/>
                      <w:szCs w:val="21"/>
                      <w:lang w:val="zh-CN"/>
                    </w:rPr>
                    <w:t>年</w:t>
                  </w:r>
                  <w:r>
                    <w:rPr>
                      <w:rFonts w:hint="eastAsia"/>
                      <w:kern w:val="0"/>
                      <w:szCs w:val="21"/>
                      <w:lang w:val="zh-CN"/>
                    </w:rPr>
                    <w:t>生产水泥砖及各类水泥制品</w:t>
                  </w:r>
                  <w:r>
                    <w:rPr>
                      <w:rFonts w:hint="eastAsia"/>
                      <w:kern w:val="0"/>
                      <w:szCs w:val="21"/>
                    </w:rPr>
                    <w:t>20</w:t>
                  </w:r>
                  <w:r>
                    <w:rPr>
                      <w:kern w:val="0"/>
                      <w:szCs w:val="21"/>
                      <w:lang w:val="zh-CN"/>
                    </w:rPr>
                    <w:t>00万块</w:t>
                  </w:r>
                </w:p>
              </w:tc>
              <w:tc>
                <w:tcPr>
                  <w:tcW w:w="3411" w:type="dxa"/>
                  <w:noWrap/>
                  <w:vAlign w:val="center"/>
                </w:tcPr>
                <w:p>
                  <w:pPr>
                    <w:autoSpaceDE w:val="0"/>
                    <w:autoSpaceDN w:val="0"/>
                    <w:adjustRightInd w:val="0"/>
                    <w:spacing w:line="360" w:lineRule="exact"/>
                    <w:jc w:val="center"/>
                    <w:rPr>
                      <w:kern w:val="0"/>
                      <w:szCs w:val="21"/>
                      <w:lang w:val="zh-CN"/>
                    </w:rPr>
                  </w:pPr>
                  <w:r>
                    <w:rPr>
                      <w:kern w:val="0"/>
                      <w:szCs w:val="21"/>
                      <w:lang w:val="zh-CN"/>
                    </w:rPr>
                    <w:t>年产</w:t>
                  </w:r>
                  <w:r>
                    <w:rPr>
                      <w:rFonts w:hint="eastAsia"/>
                      <w:kern w:val="0"/>
                      <w:szCs w:val="21"/>
                    </w:rPr>
                    <w:t>10</w:t>
                  </w:r>
                  <w:r>
                    <w:rPr>
                      <w:kern w:val="0"/>
                      <w:szCs w:val="21"/>
                      <w:lang w:val="zh-CN"/>
                    </w:rPr>
                    <w:t>00万块马路透水砖、</w:t>
                  </w:r>
                  <w:r>
                    <w:rPr>
                      <w:rFonts w:hint="eastAsia"/>
                      <w:kern w:val="0"/>
                      <w:szCs w:val="21"/>
                    </w:rPr>
                    <w:t>1000万块</w:t>
                  </w:r>
                  <w:r>
                    <w:rPr>
                      <w:kern w:val="0"/>
                      <w:szCs w:val="21"/>
                      <w:lang w:val="zh-CN"/>
                    </w:rPr>
                    <w:t>市政工程用砖</w:t>
                  </w:r>
                </w:p>
              </w:tc>
              <w:tc>
                <w:tcPr>
                  <w:tcW w:w="103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基本相符，较备案更细化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建设内容</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项目建设占地</w:t>
                  </w:r>
                  <w:r>
                    <w:rPr>
                      <w:rFonts w:hint="eastAsia"/>
                      <w:kern w:val="0"/>
                      <w:szCs w:val="21"/>
                    </w:rPr>
                    <w:t>6600平方米，其中建筑面积3300平方米，设备生产线、散装水泥罐、节能搅拌机、全自动制砖机等制造设备占用场地3300平方米</w:t>
                  </w:r>
                </w:p>
              </w:tc>
              <w:tc>
                <w:tcPr>
                  <w:tcW w:w="341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项目建设占地</w:t>
                  </w:r>
                  <w:r>
                    <w:rPr>
                      <w:rFonts w:hint="eastAsia"/>
                      <w:kern w:val="0"/>
                      <w:szCs w:val="21"/>
                    </w:rPr>
                    <w:t>6600平方米，建筑面积</w:t>
                  </w:r>
                  <w:r>
                    <w:rPr>
                      <w:rFonts w:hint="eastAsia"/>
                      <w:kern w:val="0"/>
                      <w:szCs w:val="21"/>
                      <w:lang w:val="en-US" w:eastAsia="zh-CN"/>
                    </w:rPr>
                    <w:t>2646</w:t>
                  </w:r>
                  <w:r>
                    <w:rPr>
                      <w:rFonts w:hint="eastAsia"/>
                      <w:kern w:val="0"/>
                      <w:szCs w:val="21"/>
                    </w:rPr>
                    <w:t>平方米，主要建设有生产厂房、</w:t>
                  </w:r>
                  <w:r>
                    <w:rPr>
                      <w:kern w:val="0"/>
                      <w:szCs w:val="21"/>
                      <w:lang w:val="zh-CN"/>
                    </w:rPr>
                    <w:t>办公用房等</w:t>
                  </w:r>
                </w:p>
              </w:tc>
              <w:tc>
                <w:tcPr>
                  <w:tcW w:w="103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基本</w:t>
                  </w: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1123" w:type="dxa"/>
                  <w:noWrap/>
                  <w:vAlign w:val="center"/>
                </w:tcPr>
                <w:p>
                  <w:pPr>
                    <w:autoSpaceDE w:val="0"/>
                    <w:autoSpaceDN w:val="0"/>
                    <w:adjustRightInd w:val="0"/>
                    <w:spacing w:line="360" w:lineRule="exact"/>
                    <w:jc w:val="center"/>
                    <w:rPr>
                      <w:kern w:val="0"/>
                      <w:szCs w:val="21"/>
                      <w:highlight w:val="yellow"/>
                      <w:lang w:val="zh-CN"/>
                    </w:rPr>
                  </w:pPr>
                  <w:r>
                    <w:rPr>
                      <w:kern w:val="0"/>
                      <w:szCs w:val="21"/>
                      <w:lang w:val="zh-CN"/>
                    </w:rPr>
                    <w:t>工艺</w:t>
                  </w:r>
                </w:p>
              </w:tc>
              <w:tc>
                <w:tcPr>
                  <w:tcW w:w="3415" w:type="dxa"/>
                  <w:noWrap/>
                  <w:vAlign w:val="center"/>
                </w:tcPr>
                <w:p>
                  <w:pPr>
                    <w:autoSpaceDE w:val="0"/>
                    <w:autoSpaceDN w:val="0"/>
                    <w:adjustRightInd w:val="0"/>
                    <w:spacing w:line="360" w:lineRule="exact"/>
                    <w:jc w:val="center"/>
                    <w:rPr>
                      <w:kern w:val="0"/>
                      <w:szCs w:val="21"/>
                      <w:highlight w:val="yellow"/>
                      <w:lang w:val="zh-CN"/>
                    </w:rPr>
                  </w:pPr>
                  <w:r>
                    <w:rPr>
                      <w:rFonts w:hint="eastAsia"/>
                      <w:kern w:val="0"/>
                      <w:szCs w:val="21"/>
                    </w:rPr>
                    <w:t>/</w:t>
                  </w:r>
                </w:p>
              </w:tc>
              <w:tc>
                <w:tcPr>
                  <w:tcW w:w="3411" w:type="dxa"/>
                  <w:noWrap/>
                  <w:vAlign w:val="center"/>
                </w:tcPr>
                <w:p>
                  <w:pPr>
                    <w:autoSpaceDE w:val="0"/>
                    <w:autoSpaceDN w:val="0"/>
                    <w:adjustRightInd w:val="0"/>
                    <w:spacing w:line="360" w:lineRule="exact"/>
                    <w:jc w:val="center"/>
                    <w:rPr>
                      <w:rFonts w:hint="eastAsia" w:eastAsia="宋体"/>
                      <w:kern w:val="0"/>
                      <w:szCs w:val="21"/>
                      <w:lang w:val="zh-CN" w:eastAsia="zh-CN"/>
                    </w:rPr>
                  </w:pPr>
                  <w:r>
                    <w:rPr>
                      <w:kern w:val="0"/>
                      <w:szCs w:val="21"/>
                      <w:lang w:val="zh-CN"/>
                    </w:rPr>
                    <w:t>原料配比（石沫、沙子、水泥等）</w:t>
                  </w:r>
                  <w:r>
                    <w:rPr>
                      <w:kern w:val="0"/>
                      <w:szCs w:val="21"/>
                    </w:rPr>
                    <w:t>-搅拌-切块</w:t>
                  </w:r>
                  <w:r>
                    <w:rPr>
                      <w:rFonts w:hint="eastAsia"/>
                      <w:kern w:val="0"/>
                      <w:szCs w:val="21"/>
                      <w:lang w:eastAsia="zh-CN"/>
                    </w:rPr>
                    <w:t>成型</w:t>
                  </w:r>
                  <w:r>
                    <w:rPr>
                      <w:kern w:val="0"/>
                      <w:szCs w:val="21"/>
                    </w:rPr>
                    <w:t>-</w:t>
                  </w:r>
                  <w:r>
                    <w:rPr>
                      <w:rFonts w:hint="eastAsia"/>
                      <w:kern w:val="0"/>
                      <w:szCs w:val="21"/>
                      <w:lang w:eastAsia="zh-CN"/>
                    </w:rPr>
                    <w:t>自然养护</w:t>
                  </w:r>
                  <w:r>
                    <w:rPr>
                      <w:kern w:val="0"/>
                      <w:szCs w:val="21"/>
                    </w:rPr>
                    <w:t>-</w:t>
                  </w:r>
                  <w:r>
                    <w:rPr>
                      <w:rFonts w:hint="eastAsia"/>
                      <w:kern w:val="0"/>
                      <w:szCs w:val="21"/>
                      <w:lang w:eastAsia="zh-CN"/>
                    </w:rPr>
                    <w:t>成品</w:t>
                  </w:r>
                </w:p>
              </w:tc>
              <w:tc>
                <w:tcPr>
                  <w:tcW w:w="103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备案未体现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主要设备</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设备生产线、散装</w:t>
                  </w:r>
                  <w:r>
                    <w:rPr>
                      <w:kern w:val="0"/>
                      <w:szCs w:val="21"/>
                      <w:lang w:val="zh-CN"/>
                    </w:rPr>
                    <w:t>水泥罐、</w:t>
                  </w:r>
                  <w:r>
                    <w:rPr>
                      <w:rFonts w:hint="eastAsia"/>
                      <w:kern w:val="0"/>
                      <w:szCs w:val="21"/>
                      <w:lang w:val="zh-CN"/>
                    </w:rPr>
                    <w:t>节能搅拌机、全自动制砖机等</w:t>
                  </w:r>
                </w:p>
              </w:tc>
              <w:tc>
                <w:tcPr>
                  <w:tcW w:w="3411" w:type="dxa"/>
                  <w:noWrap/>
                  <w:vAlign w:val="center"/>
                </w:tcPr>
                <w:p>
                  <w:pPr>
                    <w:autoSpaceDE w:val="0"/>
                    <w:autoSpaceDN w:val="0"/>
                    <w:adjustRightInd w:val="0"/>
                    <w:spacing w:line="360" w:lineRule="exact"/>
                    <w:jc w:val="center"/>
                    <w:rPr>
                      <w:kern w:val="0"/>
                      <w:szCs w:val="21"/>
                      <w:lang w:val="zh-CN"/>
                    </w:rPr>
                  </w:pPr>
                  <w:r>
                    <w:rPr>
                      <w:kern w:val="0"/>
                      <w:szCs w:val="21"/>
                      <w:lang w:val="zh-CN"/>
                    </w:rPr>
                    <w:t>散装水泥罐、水泥螺旋推进器、三仓补料机、搅拌机、切块成型机、彩色面料机、双层码垛机、铲车、叉车等及相关环保设备</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bl>
          <w:p>
            <w:pPr>
              <w:spacing w:line="520" w:lineRule="exact"/>
              <w:ind w:firstLine="480" w:firstLineChars="200"/>
              <w:rPr>
                <w:rFonts w:eastAsia="黑体"/>
                <w:sz w:val="24"/>
              </w:rPr>
            </w:pPr>
            <w:r>
              <w:rPr>
                <w:rFonts w:eastAsia="黑体"/>
                <w:sz w:val="24"/>
              </w:rPr>
              <w:t>三、相关规划相符性分析</w:t>
            </w:r>
          </w:p>
          <w:p>
            <w:pPr>
              <w:widowControl/>
              <w:adjustRightInd w:val="0"/>
              <w:snapToGrid w:val="0"/>
              <w:spacing w:line="520" w:lineRule="exact"/>
              <w:ind w:firstLine="480" w:firstLineChars="200"/>
              <w:jc w:val="left"/>
              <w:rPr>
                <w:b/>
                <w:bCs/>
                <w:sz w:val="24"/>
                <w:u w:val="single"/>
              </w:rPr>
            </w:pPr>
            <w:r>
              <w:rPr>
                <w:rFonts w:hint="eastAsia"/>
                <w:color w:val="auto"/>
                <w:sz w:val="24"/>
              </w:rPr>
              <w:t>根据鲁山县张良镇国土规划环保办公室出具的证明，项目</w:t>
            </w:r>
            <w:r>
              <w:rPr>
                <w:color w:val="auto"/>
                <w:sz w:val="24"/>
              </w:rPr>
              <w:t>用地性质为工业用地</w:t>
            </w:r>
            <w:r>
              <w:rPr>
                <w:rFonts w:hint="eastAsia"/>
                <w:color w:val="auto"/>
                <w:sz w:val="24"/>
              </w:rPr>
              <w:t>，符合鲁山县张良镇总体规划（详见</w:t>
            </w:r>
            <w:r>
              <w:rPr>
                <w:color w:val="auto"/>
                <w:sz w:val="24"/>
              </w:rPr>
              <w:t>附件</w:t>
            </w:r>
            <w:r>
              <w:rPr>
                <w:rFonts w:hint="eastAsia"/>
                <w:color w:val="auto"/>
                <w:sz w:val="24"/>
              </w:rPr>
              <w:t>3）；</w:t>
            </w:r>
            <w:r>
              <w:rPr>
                <w:color w:val="auto"/>
                <w:sz w:val="24"/>
              </w:rPr>
              <w:t>根</w:t>
            </w:r>
            <w:r>
              <w:rPr>
                <w:sz w:val="24"/>
              </w:rPr>
              <w:t>据张良镇总体规划（2014-2030）用地规划图，本项目地块用地性质为</w:t>
            </w:r>
            <w:r>
              <w:rPr>
                <w:rFonts w:hint="eastAsia"/>
                <w:sz w:val="24"/>
              </w:rPr>
              <w:t>工业</w:t>
            </w:r>
            <w:r>
              <w:rPr>
                <w:sz w:val="24"/>
              </w:rPr>
              <w:t>用地，符合张良镇总体规划（见附图</w:t>
            </w:r>
            <w:r>
              <w:rPr>
                <w:rFonts w:hint="eastAsia"/>
                <w:sz w:val="24"/>
              </w:rPr>
              <w:t>3</w:t>
            </w:r>
            <w:r>
              <w:rPr>
                <w:sz w:val="24"/>
              </w:rPr>
              <w:t>）。</w:t>
            </w:r>
          </w:p>
          <w:p>
            <w:pPr>
              <w:spacing w:line="520" w:lineRule="exact"/>
              <w:ind w:firstLine="480" w:firstLineChars="200"/>
              <w:rPr>
                <w:rFonts w:eastAsia="黑体"/>
                <w:sz w:val="24"/>
              </w:rPr>
            </w:pPr>
            <w:r>
              <w:rPr>
                <w:rFonts w:eastAsia="黑体"/>
                <w:sz w:val="24"/>
              </w:rPr>
              <w:t>四、建设项目概况</w:t>
            </w:r>
          </w:p>
          <w:p>
            <w:pPr>
              <w:spacing w:line="520" w:lineRule="exact"/>
              <w:ind w:firstLine="465"/>
              <w:rPr>
                <w:rFonts w:eastAsia="黑体"/>
                <w:sz w:val="24"/>
              </w:rPr>
            </w:pPr>
            <w:r>
              <w:rPr>
                <w:rFonts w:eastAsia="黑体"/>
                <w:sz w:val="24"/>
              </w:rPr>
              <w:t>4.1项目建设地点及周围环境状况</w:t>
            </w:r>
          </w:p>
          <w:p>
            <w:pPr>
              <w:spacing w:line="520" w:lineRule="exact"/>
              <w:ind w:firstLine="480" w:firstLineChars="200"/>
              <w:rPr>
                <w:sz w:val="24"/>
                <w:u w:val="single"/>
              </w:rPr>
            </w:pPr>
            <w:r>
              <w:rPr>
                <w:sz w:val="24"/>
              </w:rPr>
              <w:t>该项目厂址位于</w:t>
            </w:r>
            <w:r>
              <w:rPr>
                <w:rFonts w:hint="eastAsia"/>
                <w:sz w:val="24"/>
              </w:rPr>
              <w:t>平顶山市鲁山县张良镇工业园区西南角</w:t>
            </w:r>
            <w:r>
              <w:rPr>
                <w:sz w:val="24"/>
              </w:rPr>
              <w:t>，</w:t>
            </w:r>
            <w:r>
              <w:rPr>
                <w:bCs/>
                <w:sz w:val="24"/>
              </w:rPr>
              <w:t>厂址中心坐标：东经</w:t>
            </w:r>
            <w:r>
              <w:rPr>
                <w:rFonts w:hint="eastAsia"/>
                <w:bCs/>
                <w:sz w:val="24"/>
                <w:lang w:val="en-US" w:eastAsia="zh-CN"/>
              </w:rPr>
              <w:t>113.022606</w:t>
            </w:r>
            <w:r>
              <w:rPr>
                <w:bCs/>
                <w:sz w:val="24"/>
              </w:rPr>
              <w:t>°、北纬</w:t>
            </w:r>
            <w:r>
              <w:rPr>
                <w:rFonts w:hint="eastAsia"/>
                <w:bCs/>
                <w:sz w:val="24"/>
                <w:lang w:val="en-US" w:eastAsia="zh-CN"/>
              </w:rPr>
              <w:t>33.676669</w:t>
            </w:r>
            <w:r>
              <w:rPr>
                <w:bCs/>
                <w:sz w:val="24"/>
              </w:rPr>
              <w:t>°。</w:t>
            </w:r>
            <w:r>
              <w:rPr>
                <w:b/>
                <w:bCs w:val="0"/>
                <w:sz w:val="24"/>
                <w:u w:val="single"/>
              </w:rPr>
              <w:t>项目</w:t>
            </w:r>
            <w:r>
              <w:rPr>
                <w:rFonts w:hint="eastAsia"/>
                <w:b/>
                <w:bCs w:val="0"/>
                <w:sz w:val="24"/>
                <w:u w:val="single"/>
                <w:lang w:eastAsia="zh-CN"/>
              </w:rPr>
              <w:t>东侧为</w:t>
            </w:r>
            <w:r>
              <w:rPr>
                <w:rFonts w:hint="eastAsia"/>
                <w:b/>
                <w:bCs w:val="0"/>
                <w:sz w:val="24"/>
                <w:u w:val="single"/>
                <w:lang w:val="en-US" w:eastAsia="zh-CN"/>
              </w:rPr>
              <w:t>闲置厂房、南侧为闲置用地及闲置房屋、西侧为闲置用地、北侧为闲置用地</w:t>
            </w:r>
            <w:r>
              <w:rPr>
                <w:b/>
                <w:bCs w:val="0"/>
                <w:sz w:val="24"/>
                <w:u w:val="single"/>
              </w:rPr>
              <w:t>，</w:t>
            </w:r>
            <w:r>
              <w:rPr>
                <w:rFonts w:hint="eastAsia"/>
                <w:b/>
                <w:bCs w:val="0"/>
                <w:sz w:val="24"/>
                <w:u w:val="single"/>
              </w:rPr>
              <w:t>项目东侧</w:t>
            </w:r>
            <w:r>
              <w:rPr>
                <w:rFonts w:hint="eastAsia"/>
                <w:b/>
                <w:bCs w:val="0"/>
                <w:sz w:val="24"/>
                <w:u w:val="single"/>
                <w:lang w:val="en-US" w:eastAsia="zh-CN"/>
              </w:rPr>
              <w:t>620</w:t>
            </w:r>
            <w:r>
              <w:rPr>
                <w:rFonts w:hint="eastAsia"/>
                <w:b/>
                <w:bCs w:val="0"/>
                <w:sz w:val="24"/>
                <w:u w:val="single"/>
              </w:rPr>
              <w:t>m</w:t>
            </w:r>
            <w:r>
              <w:rPr>
                <w:rFonts w:hint="eastAsia"/>
                <w:b/>
                <w:bCs w:val="0"/>
                <w:sz w:val="24"/>
                <w:u w:val="single"/>
                <w:lang w:eastAsia="zh-CN"/>
              </w:rPr>
              <w:t>处</w:t>
            </w:r>
            <w:r>
              <w:rPr>
                <w:rFonts w:hint="eastAsia"/>
                <w:b/>
                <w:bCs w:val="0"/>
                <w:sz w:val="24"/>
                <w:u w:val="single"/>
              </w:rPr>
              <w:t>为小周楼村；项目西侧100m</w:t>
            </w:r>
            <w:r>
              <w:rPr>
                <w:rFonts w:hint="eastAsia"/>
                <w:b/>
                <w:bCs w:val="0"/>
                <w:sz w:val="24"/>
                <w:u w:val="single"/>
                <w:lang w:eastAsia="zh-CN"/>
              </w:rPr>
              <w:t>处</w:t>
            </w:r>
            <w:r>
              <w:rPr>
                <w:rFonts w:hint="eastAsia"/>
                <w:b/>
                <w:bCs w:val="0"/>
                <w:sz w:val="24"/>
                <w:u w:val="single"/>
              </w:rPr>
              <w:t>为郑万客运专线、西北侧360m为粮食储备库；项目北侧490m为G311国道、5</w:t>
            </w:r>
            <w:r>
              <w:rPr>
                <w:rFonts w:hint="eastAsia"/>
                <w:b/>
                <w:bCs w:val="0"/>
                <w:sz w:val="24"/>
                <w:u w:val="single"/>
                <w:lang w:val="en-US" w:eastAsia="zh-CN"/>
              </w:rPr>
              <w:t>10</w:t>
            </w:r>
            <w:r>
              <w:rPr>
                <w:rFonts w:hint="eastAsia"/>
                <w:b/>
                <w:bCs w:val="0"/>
                <w:sz w:val="24"/>
                <w:u w:val="single"/>
              </w:rPr>
              <w:t>m为福林庄村；项目</w:t>
            </w:r>
            <w:r>
              <w:rPr>
                <w:b/>
                <w:bCs w:val="0"/>
                <w:sz w:val="24"/>
                <w:u w:val="single"/>
              </w:rPr>
              <w:t>南侧</w:t>
            </w:r>
            <w:r>
              <w:rPr>
                <w:rFonts w:hint="eastAsia"/>
                <w:b/>
                <w:bCs w:val="0"/>
                <w:sz w:val="24"/>
                <w:u w:val="single"/>
              </w:rPr>
              <w:t>约50m外为澎河。</w:t>
            </w:r>
            <w:r>
              <w:rPr>
                <w:rFonts w:hint="eastAsia"/>
                <w:sz w:val="24"/>
              </w:rPr>
              <w:t>项目周边环境示意图见附图2。</w:t>
            </w:r>
            <w:r>
              <w:rPr>
                <w:sz w:val="24"/>
              </w:rPr>
              <w:t>项目现场勘查照片见附图5。</w:t>
            </w:r>
          </w:p>
          <w:p>
            <w:pPr>
              <w:spacing w:line="520" w:lineRule="exact"/>
              <w:ind w:firstLine="465"/>
              <w:rPr>
                <w:rFonts w:eastAsia="黑体"/>
                <w:sz w:val="24"/>
              </w:rPr>
            </w:pPr>
            <w:r>
              <w:rPr>
                <w:rFonts w:eastAsia="黑体"/>
                <w:sz w:val="24"/>
              </w:rPr>
              <w:t>4.2项目组成及建设内容</w:t>
            </w:r>
          </w:p>
          <w:p>
            <w:pPr>
              <w:widowControl/>
              <w:spacing w:line="520" w:lineRule="exact"/>
              <w:ind w:firstLine="470" w:firstLineChars="196"/>
              <w:rPr>
                <w:bCs/>
                <w:sz w:val="24"/>
              </w:rPr>
            </w:pPr>
            <w:r>
              <w:rPr>
                <w:bCs/>
                <w:sz w:val="24"/>
              </w:rPr>
              <w:t>项目总建筑面积</w:t>
            </w:r>
            <w:r>
              <w:rPr>
                <w:bCs/>
                <w:color w:val="auto"/>
                <w:sz w:val="24"/>
              </w:rPr>
              <w:t>为</w:t>
            </w:r>
            <w:r>
              <w:rPr>
                <w:rFonts w:hint="eastAsia"/>
                <w:bCs/>
                <w:color w:val="auto"/>
                <w:sz w:val="24"/>
                <w:lang w:val="en-US" w:eastAsia="zh-CN"/>
              </w:rPr>
              <w:t>2646</w:t>
            </w:r>
            <w:r>
              <w:rPr>
                <w:bCs/>
                <w:sz w:val="24"/>
              </w:rPr>
              <w:t>m</w:t>
            </w:r>
            <w:r>
              <w:rPr>
                <w:bCs/>
                <w:sz w:val="24"/>
                <w:vertAlign w:val="superscript"/>
              </w:rPr>
              <w:t>2</w:t>
            </w:r>
            <w:r>
              <w:rPr>
                <w:bCs/>
                <w:sz w:val="24"/>
              </w:rPr>
              <w:t>，包括生产车间、仓库用房、办公生活用房等。项目主要建设内容见表3。平面布置情况见附图4。</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3</w:t>
            </w:r>
            <w:r>
              <w:rPr>
                <w:rFonts w:eastAsia="黑体"/>
                <w:kern w:val="0"/>
                <w:sz w:val="24"/>
                <w:lang w:val="zh-CN"/>
              </w:rPr>
              <w:t xml:space="preserve">                    项目组成及建设内容一览表</w:t>
            </w:r>
          </w:p>
          <w:tbl>
            <w:tblPr>
              <w:tblStyle w:val="32"/>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8"/>
              <w:gridCol w:w="1360"/>
              <w:gridCol w:w="2891"/>
              <w:gridCol w:w="3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noWrap/>
                  <w:vAlign w:val="center"/>
                </w:tcPr>
                <w:p>
                  <w:pPr>
                    <w:spacing w:line="360" w:lineRule="exact"/>
                    <w:ind w:left="42" w:leftChars="20" w:right="42" w:rightChars="20"/>
                    <w:jc w:val="center"/>
                    <w:rPr>
                      <w:szCs w:val="21"/>
                    </w:rPr>
                  </w:pPr>
                  <w:r>
                    <w:rPr>
                      <w:szCs w:val="21"/>
                    </w:rPr>
                    <w:t>项目</w:t>
                  </w:r>
                  <w:r>
                    <w:rPr>
                      <w:szCs w:val="21"/>
                    </w:rPr>
                    <w:cr/>
                  </w:r>
                  <w:r>
                    <w:rPr>
                      <w:szCs w:val="21"/>
                    </w:rPr>
                    <w:t>组成</w:t>
                  </w:r>
                </w:p>
              </w:tc>
              <w:tc>
                <w:tcPr>
                  <w:tcW w:w="1360" w:type="dxa"/>
                  <w:noWrap/>
                  <w:vAlign w:val="center"/>
                </w:tcPr>
                <w:p>
                  <w:pPr>
                    <w:spacing w:line="360" w:lineRule="exact"/>
                    <w:ind w:left="42" w:leftChars="20" w:right="42" w:rightChars="20"/>
                    <w:jc w:val="center"/>
                    <w:rPr>
                      <w:szCs w:val="21"/>
                    </w:rPr>
                  </w:pPr>
                  <w:r>
                    <w:rPr>
                      <w:szCs w:val="21"/>
                    </w:rPr>
                    <w:t>名称</w:t>
                  </w:r>
                </w:p>
              </w:tc>
              <w:tc>
                <w:tcPr>
                  <w:tcW w:w="2891" w:type="dxa"/>
                  <w:noWrap/>
                  <w:vAlign w:val="center"/>
                </w:tcPr>
                <w:p>
                  <w:pPr>
                    <w:spacing w:line="360" w:lineRule="exact"/>
                    <w:ind w:left="42" w:leftChars="20" w:right="42" w:rightChars="20"/>
                    <w:jc w:val="center"/>
                    <w:rPr>
                      <w:szCs w:val="21"/>
                    </w:rPr>
                  </w:pPr>
                  <w:r>
                    <w:rPr>
                      <w:szCs w:val="21"/>
                    </w:rPr>
                    <w:t>建设内容</w:t>
                  </w:r>
                </w:p>
              </w:tc>
              <w:tc>
                <w:tcPr>
                  <w:tcW w:w="3611" w:type="dxa"/>
                  <w:noWrap/>
                  <w:vAlign w:val="center"/>
                </w:tcPr>
                <w:p>
                  <w:pPr>
                    <w:spacing w:line="360" w:lineRule="exact"/>
                    <w:ind w:left="296" w:leftChars="20" w:right="42" w:rightChars="20" w:hanging="254" w:hangingChars="121"/>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restart"/>
                  <w:noWrap/>
                  <w:vAlign w:val="center"/>
                </w:tcPr>
                <w:p>
                  <w:pPr>
                    <w:spacing w:line="360" w:lineRule="exact"/>
                    <w:ind w:left="42" w:leftChars="20" w:right="42" w:rightChars="20"/>
                    <w:jc w:val="center"/>
                    <w:rPr>
                      <w:szCs w:val="21"/>
                    </w:rPr>
                  </w:pPr>
                  <w:r>
                    <w:rPr>
                      <w:szCs w:val="21"/>
                    </w:rPr>
                    <w:t>主体工程</w:t>
                  </w: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生产车间</w:t>
                  </w:r>
                </w:p>
              </w:tc>
              <w:tc>
                <w:tcPr>
                  <w:tcW w:w="2891" w:type="dxa"/>
                  <w:noWrap/>
                  <w:vAlign w:val="center"/>
                </w:tcPr>
                <w:p>
                  <w:pPr>
                    <w:autoSpaceDE w:val="0"/>
                    <w:autoSpaceDN w:val="0"/>
                    <w:adjustRightInd w:val="0"/>
                    <w:spacing w:line="360" w:lineRule="exact"/>
                    <w:jc w:val="center"/>
                    <w:rPr>
                      <w:szCs w:val="21"/>
                    </w:rPr>
                  </w:pPr>
                  <w:r>
                    <w:rPr>
                      <w:rFonts w:hint="eastAsia"/>
                      <w:szCs w:val="21"/>
                    </w:rPr>
                    <w:t>1</w:t>
                  </w:r>
                  <w:r>
                    <w:rPr>
                      <w:szCs w:val="21"/>
                    </w:rPr>
                    <w:t>座，1F，建筑面积</w:t>
                  </w:r>
                  <w:r>
                    <w:rPr>
                      <w:rFonts w:hint="eastAsia"/>
                      <w:szCs w:val="21"/>
                      <w:lang w:val="en-US" w:eastAsia="zh-CN"/>
                    </w:rPr>
                    <w:t>1152</w:t>
                  </w:r>
                  <w:r>
                    <w:rPr>
                      <w:szCs w:val="21"/>
                    </w:rPr>
                    <w:t>m</w:t>
                  </w:r>
                  <w:r>
                    <w:rPr>
                      <w:szCs w:val="21"/>
                      <w:vertAlign w:val="superscript"/>
                    </w:rPr>
                    <w:t>2</w:t>
                  </w:r>
                </w:p>
              </w:tc>
              <w:tc>
                <w:tcPr>
                  <w:tcW w:w="3611" w:type="dxa"/>
                  <w:noWrap/>
                  <w:vAlign w:val="center"/>
                </w:tcPr>
                <w:p>
                  <w:pPr>
                    <w:spacing w:line="360" w:lineRule="exact"/>
                    <w:ind w:left="44" w:leftChars="20" w:right="42" w:rightChars="20" w:hanging="2"/>
                    <w:jc w:val="center"/>
                    <w:rPr>
                      <w:rFonts w:hint="eastAsia" w:eastAsia="宋体"/>
                      <w:szCs w:val="21"/>
                      <w:lang w:eastAsia="zh-CN"/>
                    </w:rPr>
                  </w:pPr>
                  <w:r>
                    <w:rPr>
                      <w:rFonts w:hint="eastAsia"/>
                      <w:bCs/>
                      <w:szCs w:val="21"/>
                      <w:lang w:eastAsia="zh-CN"/>
                    </w:rPr>
                    <w:t>租用，</w:t>
                  </w:r>
                  <w:r>
                    <w:rPr>
                      <w:bCs/>
                      <w:szCs w:val="21"/>
                    </w:rPr>
                    <w:t>钢结构，厂房长×宽×高：</w:t>
                  </w:r>
                  <w:r>
                    <w:rPr>
                      <w:rFonts w:hint="eastAsia"/>
                      <w:bCs/>
                      <w:szCs w:val="21"/>
                      <w:lang w:val="en-US" w:eastAsia="zh-CN"/>
                    </w:rPr>
                    <w:t>48</w:t>
                  </w:r>
                  <w:r>
                    <w:rPr>
                      <w:bCs/>
                      <w:szCs w:val="21"/>
                    </w:rPr>
                    <w:t>m×</w:t>
                  </w:r>
                  <w:r>
                    <w:rPr>
                      <w:rFonts w:hint="eastAsia"/>
                      <w:bCs/>
                      <w:szCs w:val="21"/>
                    </w:rPr>
                    <w:t>24</w:t>
                  </w:r>
                  <w:r>
                    <w:rPr>
                      <w:bCs/>
                      <w:szCs w:val="21"/>
                    </w:rPr>
                    <w:t>m×6m</w:t>
                  </w:r>
                  <w:r>
                    <w:rPr>
                      <w:rFonts w:hint="eastAsia"/>
                      <w:bCs/>
                      <w:szCs w:val="21"/>
                      <w:lang w:eastAsia="zh-CN"/>
                    </w:rPr>
                    <w:t>。分为加工区、养护区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原料库</w:t>
                  </w:r>
                </w:p>
              </w:tc>
              <w:tc>
                <w:tcPr>
                  <w:tcW w:w="2891" w:type="dxa"/>
                  <w:noWrap/>
                  <w:vAlign w:val="center"/>
                </w:tcPr>
                <w:p>
                  <w:pPr>
                    <w:autoSpaceDE w:val="0"/>
                    <w:autoSpaceDN w:val="0"/>
                    <w:adjustRightInd w:val="0"/>
                    <w:spacing w:line="360" w:lineRule="exact"/>
                    <w:jc w:val="center"/>
                    <w:rPr>
                      <w:rFonts w:hint="eastAsia"/>
                      <w:szCs w:val="21"/>
                    </w:rPr>
                  </w:pPr>
                  <w:r>
                    <w:rPr>
                      <w:rFonts w:hint="eastAsia"/>
                      <w:szCs w:val="21"/>
                    </w:rPr>
                    <w:t>1</w:t>
                  </w:r>
                  <w:r>
                    <w:rPr>
                      <w:szCs w:val="21"/>
                    </w:rPr>
                    <w:t>座，1F，建筑面积</w:t>
                  </w:r>
                  <w:r>
                    <w:rPr>
                      <w:rFonts w:hint="eastAsia"/>
                      <w:szCs w:val="21"/>
                      <w:lang w:val="en-US" w:eastAsia="zh-CN"/>
                    </w:rPr>
                    <w:t>864</w:t>
                  </w:r>
                  <w:r>
                    <w:rPr>
                      <w:szCs w:val="21"/>
                    </w:rPr>
                    <w:t>m</w:t>
                  </w:r>
                  <w:r>
                    <w:rPr>
                      <w:szCs w:val="21"/>
                      <w:vertAlign w:val="superscript"/>
                    </w:rPr>
                    <w:t>2</w:t>
                  </w:r>
                </w:p>
              </w:tc>
              <w:tc>
                <w:tcPr>
                  <w:tcW w:w="3611" w:type="dxa"/>
                  <w:noWrap/>
                  <w:vAlign w:val="center"/>
                </w:tcPr>
                <w:p>
                  <w:pPr>
                    <w:spacing w:line="360" w:lineRule="exact"/>
                    <w:ind w:left="44" w:leftChars="20" w:right="42" w:rightChars="20" w:hanging="2"/>
                    <w:jc w:val="center"/>
                    <w:rPr>
                      <w:rFonts w:hint="eastAsia"/>
                      <w:bCs/>
                      <w:szCs w:val="21"/>
                      <w:lang w:eastAsia="zh-CN"/>
                    </w:rPr>
                  </w:pPr>
                  <w:r>
                    <w:rPr>
                      <w:rFonts w:hint="eastAsia"/>
                      <w:bCs/>
                      <w:szCs w:val="21"/>
                      <w:lang w:eastAsia="zh-CN"/>
                    </w:rPr>
                    <w:t>租用，</w:t>
                  </w:r>
                  <w:r>
                    <w:rPr>
                      <w:bCs/>
                      <w:szCs w:val="21"/>
                    </w:rPr>
                    <w:t>钢结构，单个厂房长×宽×高：</w:t>
                  </w:r>
                  <w:r>
                    <w:rPr>
                      <w:rFonts w:hint="eastAsia"/>
                      <w:bCs/>
                      <w:szCs w:val="21"/>
                      <w:lang w:val="en-US" w:eastAsia="zh-CN"/>
                    </w:rPr>
                    <w:t>48</w:t>
                  </w:r>
                  <w:r>
                    <w:rPr>
                      <w:bCs/>
                      <w:szCs w:val="21"/>
                    </w:rPr>
                    <w:t>m×</w:t>
                  </w:r>
                  <w:r>
                    <w:rPr>
                      <w:rFonts w:hint="eastAsia"/>
                      <w:bCs/>
                      <w:szCs w:val="21"/>
                      <w:lang w:val="en-US" w:eastAsia="zh-CN"/>
                    </w:rPr>
                    <w:t>18</w:t>
                  </w:r>
                  <w:r>
                    <w:rPr>
                      <w:bCs/>
                      <w:szCs w:val="21"/>
                    </w:rPr>
                    <w:t>m×6m</w:t>
                  </w:r>
                  <w:r>
                    <w:rPr>
                      <w:rFonts w:hint="eastAsia"/>
                      <w:bCs/>
                      <w:szCs w:val="21"/>
                      <w:lang w:eastAsia="zh-CN"/>
                    </w:rPr>
                    <w:t>。分为原料区、养护区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highlight w:val="yellow"/>
                    </w:rPr>
                  </w:pPr>
                </w:p>
              </w:tc>
              <w:tc>
                <w:tcPr>
                  <w:tcW w:w="1360" w:type="dxa"/>
                  <w:noWrap/>
                  <w:vAlign w:val="center"/>
                </w:tcPr>
                <w:p>
                  <w:pPr>
                    <w:autoSpaceDE w:val="0"/>
                    <w:autoSpaceDN w:val="0"/>
                    <w:adjustRightInd w:val="0"/>
                    <w:spacing w:line="360" w:lineRule="exact"/>
                    <w:ind w:left="42" w:leftChars="20" w:right="42" w:rightChars="20"/>
                    <w:jc w:val="center"/>
                    <w:rPr>
                      <w:rFonts w:hint="eastAsia" w:eastAsia="宋体"/>
                      <w:szCs w:val="21"/>
                      <w:lang w:eastAsia="zh-CN"/>
                    </w:rPr>
                  </w:pPr>
                  <w:r>
                    <w:rPr>
                      <w:rFonts w:hint="eastAsia"/>
                      <w:szCs w:val="21"/>
                      <w:lang w:eastAsia="zh-CN"/>
                    </w:rPr>
                    <w:t>成品暂存区</w:t>
                  </w:r>
                </w:p>
              </w:tc>
              <w:tc>
                <w:tcPr>
                  <w:tcW w:w="2891" w:type="dxa"/>
                  <w:noWrap/>
                  <w:vAlign w:val="center"/>
                </w:tcPr>
                <w:p>
                  <w:pPr>
                    <w:autoSpaceDE w:val="0"/>
                    <w:autoSpaceDN w:val="0"/>
                    <w:adjustRightInd w:val="0"/>
                    <w:spacing w:line="360" w:lineRule="exact"/>
                    <w:jc w:val="center"/>
                    <w:rPr>
                      <w:rFonts w:hint="default" w:eastAsia="宋体"/>
                      <w:szCs w:val="21"/>
                      <w:lang w:val="en-US" w:eastAsia="zh-CN"/>
                    </w:rPr>
                  </w:pPr>
                  <w:r>
                    <w:rPr>
                      <w:rFonts w:hint="eastAsia"/>
                      <w:szCs w:val="21"/>
                      <w:lang w:eastAsia="zh-CN"/>
                    </w:rPr>
                    <w:t>占地面积</w:t>
                  </w:r>
                  <w:r>
                    <w:rPr>
                      <w:rFonts w:hint="eastAsia"/>
                      <w:szCs w:val="21"/>
                      <w:lang w:val="en-US" w:eastAsia="zh-CN"/>
                    </w:rPr>
                    <w:t>1500</w:t>
                  </w:r>
                  <w:r>
                    <w:rPr>
                      <w:szCs w:val="21"/>
                    </w:rPr>
                    <w:t>m</w:t>
                  </w:r>
                  <w:r>
                    <w:rPr>
                      <w:szCs w:val="21"/>
                      <w:vertAlign w:val="superscript"/>
                    </w:rPr>
                    <w:t>2</w:t>
                  </w:r>
                </w:p>
              </w:tc>
              <w:tc>
                <w:tcPr>
                  <w:tcW w:w="3611" w:type="dxa"/>
                  <w:noWrap/>
                  <w:vAlign w:val="center"/>
                </w:tcPr>
                <w:p>
                  <w:pPr>
                    <w:spacing w:line="360" w:lineRule="exact"/>
                    <w:ind w:left="44" w:leftChars="20" w:right="42" w:rightChars="20" w:hanging="2"/>
                    <w:jc w:val="center"/>
                    <w:rPr>
                      <w:rFonts w:hint="eastAsia" w:eastAsia="宋体"/>
                      <w:szCs w:val="21"/>
                      <w:lang w:eastAsia="zh-CN"/>
                    </w:rPr>
                  </w:pPr>
                  <w:r>
                    <w:rPr>
                      <w:rFonts w:hint="eastAsia"/>
                      <w:szCs w:val="21"/>
                      <w:lang w:eastAsia="zh-CN"/>
                    </w:rPr>
                    <w:t>设置顶棚，地面硬化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restart"/>
                  <w:noWrap/>
                  <w:vAlign w:val="center"/>
                </w:tcPr>
                <w:p>
                  <w:pPr>
                    <w:spacing w:line="360" w:lineRule="exact"/>
                    <w:ind w:left="42" w:leftChars="20" w:right="42" w:rightChars="20"/>
                    <w:jc w:val="center"/>
                    <w:rPr>
                      <w:szCs w:val="21"/>
                    </w:rPr>
                  </w:pPr>
                  <w:r>
                    <w:rPr>
                      <w:szCs w:val="21"/>
                    </w:rPr>
                    <w:t>公用工程</w:t>
                  </w:r>
                </w:p>
              </w:tc>
              <w:tc>
                <w:tcPr>
                  <w:tcW w:w="1360" w:type="dxa"/>
                  <w:noWrap/>
                  <w:vAlign w:val="center"/>
                </w:tcPr>
                <w:p>
                  <w:pPr>
                    <w:autoSpaceDE w:val="0"/>
                    <w:autoSpaceDN w:val="0"/>
                    <w:adjustRightInd w:val="0"/>
                    <w:spacing w:line="360" w:lineRule="exact"/>
                    <w:ind w:left="42" w:leftChars="20" w:right="42" w:rightChars="20"/>
                    <w:jc w:val="center"/>
                    <w:rPr>
                      <w:rFonts w:hint="eastAsia" w:eastAsia="宋体"/>
                      <w:szCs w:val="21"/>
                      <w:lang w:eastAsia="zh-CN"/>
                    </w:rPr>
                  </w:pPr>
                  <w:r>
                    <w:rPr>
                      <w:szCs w:val="21"/>
                    </w:rPr>
                    <w:t>办公</w:t>
                  </w:r>
                  <w:r>
                    <w:rPr>
                      <w:rFonts w:hint="eastAsia"/>
                      <w:szCs w:val="21"/>
                      <w:lang w:eastAsia="zh-CN"/>
                    </w:rPr>
                    <w:t>用房</w:t>
                  </w:r>
                </w:p>
              </w:tc>
              <w:tc>
                <w:tcPr>
                  <w:tcW w:w="2891" w:type="dxa"/>
                  <w:noWrap/>
                  <w:vAlign w:val="center"/>
                </w:tcPr>
                <w:p>
                  <w:pPr>
                    <w:spacing w:line="360" w:lineRule="exact"/>
                    <w:ind w:left="42" w:leftChars="20" w:right="42" w:rightChars="20"/>
                    <w:jc w:val="center"/>
                    <w:rPr>
                      <w:szCs w:val="21"/>
                    </w:rPr>
                  </w:pPr>
                  <w:r>
                    <w:rPr>
                      <w:szCs w:val="21"/>
                    </w:rPr>
                    <w:t>1座，1F，建筑面积</w:t>
                  </w:r>
                  <w:r>
                    <w:rPr>
                      <w:rFonts w:hint="eastAsia"/>
                      <w:szCs w:val="21"/>
                      <w:lang w:val="en-US" w:eastAsia="zh-CN"/>
                    </w:rPr>
                    <w:t>3</w:t>
                  </w:r>
                  <w:r>
                    <w:rPr>
                      <w:szCs w:val="21"/>
                    </w:rPr>
                    <w:t>00m</w:t>
                  </w:r>
                  <w:r>
                    <w:rPr>
                      <w:szCs w:val="21"/>
                      <w:vertAlign w:val="superscript"/>
                    </w:rPr>
                    <w:t>2</w:t>
                  </w:r>
                </w:p>
              </w:tc>
              <w:tc>
                <w:tcPr>
                  <w:tcW w:w="3611" w:type="dxa"/>
                  <w:noWrap/>
                  <w:vAlign w:val="center"/>
                </w:tcPr>
                <w:p>
                  <w:pPr>
                    <w:widowControl/>
                    <w:spacing w:line="360" w:lineRule="exact"/>
                    <w:jc w:val="center"/>
                    <w:rPr>
                      <w:kern w:val="0"/>
                      <w:szCs w:val="21"/>
                    </w:rPr>
                  </w:pPr>
                  <w:r>
                    <w:rPr>
                      <w:rFonts w:hint="eastAsia"/>
                      <w:kern w:val="0"/>
                      <w:szCs w:val="21"/>
                      <w:lang w:eastAsia="zh-CN"/>
                    </w:rPr>
                    <w:t>利用原有，</w:t>
                  </w:r>
                  <w:r>
                    <w:rPr>
                      <w:kern w:val="0"/>
                      <w:szCs w:val="21"/>
                    </w:rPr>
                    <w:t>砖混结构，设置有餐厅及宿舍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rFonts w:hint="eastAsia"/>
                      <w:szCs w:val="21"/>
                    </w:rPr>
                    <w:t>机修车间</w:t>
                  </w:r>
                </w:p>
              </w:tc>
              <w:tc>
                <w:tcPr>
                  <w:tcW w:w="2891" w:type="dxa"/>
                  <w:noWrap/>
                  <w:vAlign w:val="center"/>
                </w:tcPr>
                <w:p>
                  <w:pPr>
                    <w:spacing w:line="360" w:lineRule="exact"/>
                    <w:ind w:left="42" w:leftChars="20" w:right="42" w:rightChars="20"/>
                    <w:jc w:val="center"/>
                    <w:rPr>
                      <w:szCs w:val="21"/>
                    </w:rPr>
                  </w:pPr>
                  <w:r>
                    <w:rPr>
                      <w:szCs w:val="21"/>
                    </w:rPr>
                    <w:t>1座，1F，建筑面积</w:t>
                  </w:r>
                  <w:r>
                    <w:rPr>
                      <w:rFonts w:hint="eastAsia"/>
                      <w:szCs w:val="21"/>
                      <w:lang w:val="en-US" w:eastAsia="zh-CN"/>
                    </w:rPr>
                    <w:t>33</w:t>
                  </w:r>
                  <w:r>
                    <w:rPr>
                      <w:szCs w:val="21"/>
                    </w:rPr>
                    <w:t>0m</w:t>
                  </w:r>
                  <w:r>
                    <w:rPr>
                      <w:szCs w:val="21"/>
                      <w:vertAlign w:val="superscript"/>
                    </w:rPr>
                    <w:t>2</w:t>
                  </w:r>
                </w:p>
              </w:tc>
              <w:tc>
                <w:tcPr>
                  <w:tcW w:w="3611" w:type="dxa"/>
                  <w:noWrap/>
                  <w:vAlign w:val="center"/>
                </w:tcPr>
                <w:p>
                  <w:pPr>
                    <w:widowControl/>
                    <w:spacing w:line="360" w:lineRule="exact"/>
                    <w:jc w:val="center"/>
                    <w:rPr>
                      <w:rFonts w:hint="eastAsia" w:eastAsia="宋体"/>
                      <w:kern w:val="0"/>
                      <w:szCs w:val="21"/>
                      <w:lang w:eastAsia="zh-CN"/>
                    </w:rPr>
                  </w:pPr>
                  <w:r>
                    <w:rPr>
                      <w:rFonts w:hint="eastAsia"/>
                      <w:kern w:val="0"/>
                      <w:szCs w:val="21"/>
                      <w:lang w:eastAsia="zh-CN"/>
                    </w:rPr>
                    <w:t>利用原有，</w:t>
                  </w:r>
                  <w:r>
                    <w:rPr>
                      <w:kern w:val="0"/>
                      <w:szCs w:val="21"/>
                    </w:rPr>
                    <w:t>砖混结构，</w:t>
                  </w:r>
                  <w:r>
                    <w:rPr>
                      <w:rFonts w:hint="eastAsia"/>
                      <w:kern w:val="0"/>
                      <w:szCs w:val="21"/>
                      <w:lang w:eastAsia="zh-CN"/>
                    </w:rPr>
                    <w:t>仅用于零部件的焊接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供水</w:t>
                  </w:r>
                </w:p>
              </w:tc>
              <w:tc>
                <w:tcPr>
                  <w:tcW w:w="2891" w:type="dxa"/>
                  <w:noWrap/>
                  <w:vAlign w:val="center"/>
                </w:tcPr>
                <w:p>
                  <w:pPr>
                    <w:spacing w:line="360" w:lineRule="exact"/>
                    <w:ind w:left="42" w:leftChars="20" w:right="42" w:rightChars="20"/>
                    <w:jc w:val="center"/>
                    <w:rPr>
                      <w:szCs w:val="21"/>
                    </w:rPr>
                  </w:pPr>
                  <w:r>
                    <w:rPr>
                      <w:szCs w:val="21"/>
                    </w:rPr>
                    <w:t>厂区自备水井</w:t>
                  </w:r>
                </w:p>
              </w:tc>
              <w:tc>
                <w:tcPr>
                  <w:tcW w:w="3611" w:type="dxa"/>
                  <w:noWrap/>
                  <w:vAlign w:val="center"/>
                </w:tcPr>
                <w:p>
                  <w:pPr>
                    <w:widowControl/>
                    <w:spacing w:line="360" w:lineRule="exact"/>
                    <w:jc w:val="center"/>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供电</w:t>
                  </w:r>
                </w:p>
              </w:tc>
              <w:tc>
                <w:tcPr>
                  <w:tcW w:w="2891" w:type="dxa"/>
                  <w:noWrap/>
                  <w:vAlign w:val="center"/>
                </w:tcPr>
                <w:p>
                  <w:pPr>
                    <w:spacing w:line="360" w:lineRule="exact"/>
                    <w:ind w:left="42" w:leftChars="20" w:right="42" w:rightChars="20"/>
                    <w:jc w:val="center"/>
                    <w:rPr>
                      <w:szCs w:val="21"/>
                    </w:rPr>
                  </w:pPr>
                  <w:r>
                    <w:rPr>
                      <w:bCs/>
                      <w:szCs w:val="21"/>
                    </w:rPr>
                    <w:t>来自区域电网</w:t>
                  </w:r>
                </w:p>
              </w:tc>
              <w:tc>
                <w:tcPr>
                  <w:tcW w:w="3611" w:type="dxa"/>
                  <w:noWrap/>
                  <w:vAlign w:val="center"/>
                </w:tcPr>
                <w:p>
                  <w:pPr>
                    <w:widowControl/>
                    <w:spacing w:line="360" w:lineRule="exact"/>
                    <w:jc w:val="center"/>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restart"/>
                  <w:noWrap/>
                  <w:vAlign w:val="center"/>
                </w:tcPr>
                <w:p>
                  <w:pPr>
                    <w:spacing w:line="360" w:lineRule="exact"/>
                    <w:ind w:left="42" w:leftChars="20" w:right="42" w:rightChars="20"/>
                    <w:jc w:val="center"/>
                    <w:rPr>
                      <w:szCs w:val="21"/>
                    </w:rPr>
                  </w:pPr>
                  <w:r>
                    <w:rPr>
                      <w:szCs w:val="21"/>
                    </w:rPr>
                    <w:t>环保工程</w:t>
                  </w:r>
                </w:p>
              </w:tc>
              <w:tc>
                <w:tcPr>
                  <w:tcW w:w="1360" w:type="dxa"/>
                  <w:vMerge w:val="restart"/>
                  <w:noWrap/>
                  <w:vAlign w:val="center"/>
                </w:tcPr>
                <w:p>
                  <w:pPr>
                    <w:autoSpaceDE w:val="0"/>
                    <w:autoSpaceDN w:val="0"/>
                    <w:adjustRightInd w:val="0"/>
                    <w:spacing w:line="360" w:lineRule="exact"/>
                    <w:ind w:left="42" w:leftChars="20" w:right="42" w:rightChars="20"/>
                    <w:jc w:val="center"/>
                    <w:rPr>
                      <w:szCs w:val="21"/>
                    </w:rPr>
                  </w:pPr>
                  <w:r>
                    <w:rPr>
                      <w:szCs w:val="21"/>
                    </w:rPr>
                    <w:t>废气防治措施</w:t>
                  </w:r>
                </w:p>
              </w:tc>
              <w:tc>
                <w:tcPr>
                  <w:tcW w:w="6502" w:type="dxa"/>
                  <w:gridSpan w:val="2"/>
                  <w:noWrap/>
                  <w:vAlign w:val="center"/>
                </w:tcPr>
                <w:p>
                  <w:pPr>
                    <w:widowControl/>
                    <w:spacing w:line="360" w:lineRule="exact"/>
                    <w:jc w:val="center"/>
                    <w:rPr>
                      <w:color w:val="auto"/>
                      <w:kern w:val="0"/>
                      <w:szCs w:val="21"/>
                    </w:rPr>
                  </w:pPr>
                  <w:r>
                    <w:rPr>
                      <w:rFonts w:hint="eastAsia"/>
                      <w:color w:val="auto"/>
                      <w:szCs w:val="21"/>
                      <w:lang w:eastAsia="zh-CN"/>
                    </w:rPr>
                    <w:t>罐仓呼吸孔产生的颗粒物</w:t>
                  </w:r>
                  <w:r>
                    <w:rPr>
                      <w:rFonts w:hint="eastAsia"/>
                      <w:color w:val="auto"/>
                      <w:szCs w:val="21"/>
                    </w:rPr>
                    <w:t>尘</w:t>
                  </w:r>
                  <w:r>
                    <w:rPr>
                      <w:rFonts w:hint="eastAsia"/>
                      <w:color w:val="auto"/>
                      <w:szCs w:val="21"/>
                      <w:lang w:eastAsia="zh-CN"/>
                    </w:rPr>
                    <w:t>经脉冲</w:t>
                  </w:r>
                  <w:r>
                    <w:rPr>
                      <w:color w:val="auto"/>
                      <w:szCs w:val="21"/>
                    </w:rPr>
                    <w:t>袋式除尘器除尘</w:t>
                  </w:r>
                  <w:r>
                    <w:rPr>
                      <w:rFonts w:hint="eastAsia"/>
                      <w:color w:val="auto"/>
                      <w:szCs w:val="21"/>
                      <w:lang w:eastAsia="zh-CN"/>
                    </w:rPr>
                    <w:t>处理后引入搅拌机配套除尘器处理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vMerge w:val="continue"/>
                  <w:noWrap/>
                  <w:vAlign w:val="center"/>
                </w:tcPr>
                <w:p>
                  <w:pPr>
                    <w:autoSpaceDE w:val="0"/>
                    <w:autoSpaceDN w:val="0"/>
                    <w:adjustRightInd w:val="0"/>
                    <w:spacing w:line="360" w:lineRule="exact"/>
                    <w:ind w:left="42" w:leftChars="20" w:right="42" w:rightChars="20"/>
                    <w:jc w:val="center"/>
                    <w:rPr>
                      <w:szCs w:val="21"/>
                    </w:rPr>
                  </w:pPr>
                </w:p>
              </w:tc>
              <w:tc>
                <w:tcPr>
                  <w:tcW w:w="6502" w:type="dxa"/>
                  <w:gridSpan w:val="2"/>
                  <w:noWrap/>
                  <w:vAlign w:val="center"/>
                </w:tcPr>
                <w:p>
                  <w:pPr>
                    <w:widowControl/>
                    <w:spacing w:line="360" w:lineRule="exact"/>
                    <w:jc w:val="center"/>
                    <w:rPr>
                      <w:rFonts w:hint="default" w:eastAsia="宋体"/>
                      <w:color w:val="auto"/>
                      <w:kern w:val="0"/>
                      <w:szCs w:val="21"/>
                      <w:lang w:val="en-US" w:eastAsia="zh-CN"/>
                    </w:rPr>
                  </w:pPr>
                  <w:r>
                    <w:rPr>
                      <w:rFonts w:hint="eastAsia"/>
                      <w:color w:val="auto"/>
                      <w:szCs w:val="21"/>
                    </w:rPr>
                    <w:t>配料</w:t>
                  </w:r>
                  <w:r>
                    <w:rPr>
                      <w:rFonts w:hint="eastAsia"/>
                      <w:color w:val="auto"/>
                      <w:szCs w:val="21"/>
                      <w:lang w:eastAsia="zh-CN"/>
                    </w:rPr>
                    <w:t>、</w:t>
                  </w:r>
                  <w:r>
                    <w:rPr>
                      <w:rFonts w:hint="eastAsia"/>
                      <w:color w:val="auto"/>
                      <w:szCs w:val="21"/>
                    </w:rPr>
                    <w:t>搅拌</w:t>
                  </w:r>
                  <w:r>
                    <w:rPr>
                      <w:rFonts w:hint="eastAsia"/>
                      <w:color w:val="auto"/>
                      <w:szCs w:val="21"/>
                      <w:lang w:eastAsia="zh-CN"/>
                    </w:rPr>
                    <w:t>颗粒物经集气罩</w:t>
                  </w:r>
                  <w:r>
                    <w:rPr>
                      <w:color w:val="auto"/>
                      <w:szCs w:val="21"/>
                    </w:rPr>
                    <w:t>管道集尘后进入袋式除尘器除尘</w:t>
                  </w:r>
                  <w:r>
                    <w:rPr>
                      <w:rFonts w:hint="eastAsia"/>
                      <w:color w:val="auto"/>
                      <w:szCs w:val="21"/>
                      <w:lang w:eastAsia="zh-CN"/>
                    </w:rPr>
                    <w:t>处理后，</w:t>
                  </w:r>
                  <w:r>
                    <w:rPr>
                      <w:rFonts w:hint="eastAsia"/>
                      <w:color w:val="auto"/>
                      <w:szCs w:val="21"/>
                      <w:lang w:val="en-US" w:eastAsia="zh-CN"/>
                    </w:rPr>
                    <w:t>经15m高排气筒排放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vMerge w:val="restart"/>
                  <w:noWrap/>
                  <w:vAlign w:val="center"/>
                </w:tcPr>
                <w:p>
                  <w:pPr>
                    <w:autoSpaceDE w:val="0"/>
                    <w:autoSpaceDN w:val="0"/>
                    <w:adjustRightInd w:val="0"/>
                    <w:spacing w:line="360" w:lineRule="exact"/>
                    <w:ind w:left="42" w:leftChars="20" w:right="42" w:rightChars="20"/>
                    <w:jc w:val="center"/>
                    <w:rPr>
                      <w:szCs w:val="21"/>
                    </w:rPr>
                  </w:pPr>
                  <w:r>
                    <w:rPr>
                      <w:szCs w:val="21"/>
                    </w:rPr>
                    <w:t>废水防治措施</w:t>
                  </w:r>
                </w:p>
              </w:tc>
              <w:tc>
                <w:tcPr>
                  <w:tcW w:w="6502" w:type="dxa"/>
                  <w:gridSpan w:val="2"/>
                  <w:noWrap/>
                  <w:vAlign w:val="center"/>
                </w:tcPr>
                <w:p>
                  <w:pPr>
                    <w:widowControl/>
                    <w:spacing w:line="360" w:lineRule="exact"/>
                    <w:jc w:val="center"/>
                    <w:rPr>
                      <w:kern w:val="0"/>
                      <w:szCs w:val="21"/>
                    </w:rPr>
                  </w:pPr>
                  <w:r>
                    <w:rPr>
                      <w:rFonts w:hint="eastAsia"/>
                      <w:szCs w:val="21"/>
                    </w:rPr>
                    <w:t>设备、</w:t>
                  </w:r>
                  <w:r>
                    <w:rPr>
                      <w:rFonts w:hint="eastAsia"/>
                      <w:szCs w:val="21"/>
                      <w:lang w:eastAsia="zh-CN"/>
                    </w:rPr>
                    <w:t>场地、</w:t>
                  </w:r>
                  <w:r>
                    <w:rPr>
                      <w:szCs w:val="21"/>
                    </w:rPr>
                    <w:t>运输车辆</w:t>
                  </w:r>
                  <w:r>
                    <w:rPr>
                      <w:rFonts w:hint="eastAsia"/>
                      <w:szCs w:val="21"/>
                    </w:rPr>
                    <w:t>等</w:t>
                  </w:r>
                  <w:r>
                    <w:rPr>
                      <w:szCs w:val="21"/>
                    </w:rPr>
                    <w:t>冲洗废水回用</w:t>
                  </w:r>
                  <w:r>
                    <w:rPr>
                      <w:rFonts w:hint="eastAsia"/>
                      <w:szCs w:val="21"/>
                    </w:rPr>
                    <w:t>，不排放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vMerge w:val="continue"/>
                  <w:noWrap/>
                  <w:vAlign w:val="center"/>
                </w:tcPr>
                <w:p>
                  <w:pPr>
                    <w:autoSpaceDE w:val="0"/>
                    <w:autoSpaceDN w:val="0"/>
                    <w:adjustRightInd w:val="0"/>
                    <w:spacing w:line="360" w:lineRule="exact"/>
                    <w:ind w:left="42" w:leftChars="20" w:right="42" w:rightChars="20"/>
                    <w:jc w:val="center"/>
                    <w:rPr>
                      <w:szCs w:val="21"/>
                    </w:rPr>
                  </w:pPr>
                </w:p>
              </w:tc>
              <w:tc>
                <w:tcPr>
                  <w:tcW w:w="6502" w:type="dxa"/>
                  <w:gridSpan w:val="2"/>
                  <w:noWrap/>
                  <w:vAlign w:val="center"/>
                </w:tcPr>
                <w:p>
                  <w:pPr>
                    <w:widowControl/>
                    <w:spacing w:line="360" w:lineRule="exact"/>
                    <w:jc w:val="center"/>
                    <w:rPr>
                      <w:kern w:val="0"/>
                      <w:szCs w:val="21"/>
                    </w:rPr>
                  </w:pPr>
                  <w:r>
                    <w:rPr>
                      <w:szCs w:val="21"/>
                    </w:rPr>
                    <w:t>生活污水经</w:t>
                  </w:r>
                  <w:r>
                    <w:rPr>
                      <w:rFonts w:hint="eastAsia"/>
                      <w:szCs w:val="21"/>
                      <w:lang w:eastAsia="zh-CN"/>
                    </w:rPr>
                    <w:t>原有</w:t>
                  </w:r>
                  <w:r>
                    <w:rPr>
                      <w:szCs w:val="21"/>
                    </w:rPr>
                    <w:t>化粪池处理后用于周边农田施肥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highlight w:val="yellow"/>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噪声防治措施</w:t>
                  </w:r>
                </w:p>
              </w:tc>
              <w:tc>
                <w:tcPr>
                  <w:tcW w:w="6502" w:type="dxa"/>
                  <w:gridSpan w:val="2"/>
                  <w:noWrap/>
                  <w:vAlign w:val="center"/>
                </w:tcPr>
                <w:p>
                  <w:pPr>
                    <w:widowControl/>
                    <w:spacing w:line="360" w:lineRule="exact"/>
                    <w:jc w:val="center"/>
                    <w:rPr>
                      <w:kern w:val="0"/>
                      <w:szCs w:val="21"/>
                    </w:rPr>
                  </w:pPr>
                  <w:r>
                    <w:rPr>
                      <w:szCs w:val="21"/>
                    </w:rPr>
                    <w:t>基础减震、建筑隔声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1118" w:type="dxa"/>
                  <w:vMerge w:val="continue"/>
                  <w:noWrap/>
                  <w:vAlign w:val="center"/>
                </w:tcPr>
                <w:p>
                  <w:pPr>
                    <w:spacing w:line="360" w:lineRule="exact"/>
                    <w:ind w:left="42" w:leftChars="20" w:right="42" w:rightChars="20"/>
                    <w:jc w:val="center"/>
                    <w:rPr>
                      <w:szCs w:val="21"/>
                      <w:highlight w:val="yellow"/>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固废防治措施</w:t>
                  </w:r>
                </w:p>
              </w:tc>
              <w:tc>
                <w:tcPr>
                  <w:tcW w:w="6502" w:type="dxa"/>
                  <w:gridSpan w:val="2"/>
                  <w:noWrap/>
                  <w:vAlign w:val="center"/>
                </w:tcPr>
                <w:p>
                  <w:pPr>
                    <w:spacing w:line="360" w:lineRule="exact"/>
                    <w:ind w:left="42" w:leftChars="20" w:right="42" w:rightChars="20"/>
                    <w:jc w:val="center"/>
                    <w:rPr>
                      <w:bCs/>
                      <w:szCs w:val="21"/>
                    </w:rPr>
                  </w:pPr>
                  <w:r>
                    <w:rPr>
                      <w:szCs w:val="21"/>
                    </w:rPr>
                    <w:t>一般工业固废统一收集处理</w:t>
                  </w:r>
                </w:p>
              </w:tc>
            </w:tr>
          </w:tbl>
          <w:p>
            <w:pPr>
              <w:spacing w:line="520" w:lineRule="exact"/>
              <w:ind w:firstLine="465"/>
              <w:rPr>
                <w:rFonts w:eastAsia="黑体"/>
                <w:sz w:val="24"/>
              </w:rPr>
            </w:pPr>
            <w:r>
              <w:rPr>
                <w:rFonts w:eastAsia="黑体"/>
                <w:sz w:val="24"/>
              </w:rPr>
              <w:t>4.3产品方案</w:t>
            </w:r>
          </w:p>
          <w:p>
            <w:pPr>
              <w:spacing w:line="520" w:lineRule="exact"/>
              <w:ind w:firstLine="482"/>
              <w:rPr>
                <w:sz w:val="24"/>
              </w:rPr>
            </w:pPr>
            <w:r>
              <w:rPr>
                <w:sz w:val="24"/>
              </w:rPr>
              <w:t>本项目产品</w:t>
            </w:r>
            <w:r>
              <w:rPr>
                <w:rFonts w:hint="eastAsia"/>
                <w:sz w:val="24"/>
              </w:rPr>
              <w:t>主要是</w:t>
            </w:r>
            <w:r>
              <w:rPr>
                <w:sz w:val="24"/>
              </w:rPr>
              <w:t>马路透水砖、市政工程用砖。项目具体产品方案见表4。</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4</w:t>
            </w:r>
            <w:r>
              <w:rPr>
                <w:rFonts w:eastAsia="黑体"/>
                <w:kern w:val="0"/>
                <w:sz w:val="24"/>
                <w:lang w:val="zh-CN"/>
              </w:rPr>
              <w:t xml:space="preserve">                       产品方案一览表</w:t>
            </w:r>
          </w:p>
          <w:tbl>
            <w:tblPr>
              <w:tblStyle w:val="32"/>
              <w:tblW w:w="896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1"/>
              <w:gridCol w:w="1794"/>
              <w:gridCol w:w="1882"/>
              <w:gridCol w:w="1432"/>
              <w:gridCol w:w="31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701" w:type="dxa"/>
                  <w:noWrap/>
                  <w:vAlign w:val="center"/>
                </w:tcPr>
                <w:p>
                  <w:pPr>
                    <w:spacing w:line="360" w:lineRule="exact"/>
                    <w:jc w:val="center"/>
                    <w:rPr>
                      <w:bCs/>
                      <w:szCs w:val="21"/>
                    </w:rPr>
                  </w:pPr>
                  <w:r>
                    <w:rPr>
                      <w:bCs/>
                      <w:szCs w:val="21"/>
                    </w:rPr>
                    <w:t>序号</w:t>
                  </w:r>
                </w:p>
              </w:tc>
              <w:tc>
                <w:tcPr>
                  <w:tcW w:w="1794" w:type="dxa"/>
                  <w:noWrap/>
                  <w:vAlign w:val="center"/>
                </w:tcPr>
                <w:p>
                  <w:pPr>
                    <w:spacing w:line="360" w:lineRule="exact"/>
                    <w:jc w:val="center"/>
                    <w:rPr>
                      <w:bCs/>
                      <w:szCs w:val="21"/>
                    </w:rPr>
                  </w:pPr>
                  <w:r>
                    <w:rPr>
                      <w:bCs/>
                      <w:szCs w:val="21"/>
                    </w:rPr>
                    <w:t>产品名称</w:t>
                  </w:r>
                </w:p>
              </w:tc>
              <w:tc>
                <w:tcPr>
                  <w:tcW w:w="1882" w:type="dxa"/>
                  <w:noWrap/>
                  <w:vAlign w:val="center"/>
                </w:tcPr>
                <w:p>
                  <w:pPr>
                    <w:spacing w:line="360" w:lineRule="exact"/>
                    <w:jc w:val="center"/>
                    <w:rPr>
                      <w:bCs/>
                      <w:szCs w:val="21"/>
                    </w:rPr>
                  </w:pPr>
                  <w:r>
                    <w:rPr>
                      <w:bCs/>
                      <w:szCs w:val="21"/>
                    </w:rPr>
                    <w:t>产量</w:t>
                  </w:r>
                  <w:r>
                    <w:rPr>
                      <w:rFonts w:hint="eastAsia"/>
                      <w:bCs/>
                      <w:szCs w:val="21"/>
                    </w:rPr>
                    <w:t>（标砖）</w:t>
                  </w:r>
                </w:p>
              </w:tc>
              <w:tc>
                <w:tcPr>
                  <w:tcW w:w="1432" w:type="dxa"/>
                  <w:noWrap/>
                  <w:vAlign w:val="center"/>
                </w:tcPr>
                <w:p>
                  <w:pPr>
                    <w:spacing w:line="360" w:lineRule="exact"/>
                    <w:jc w:val="center"/>
                    <w:rPr>
                      <w:bCs/>
                      <w:szCs w:val="21"/>
                    </w:rPr>
                  </w:pPr>
                  <w:r>
                    <w:rPr>
                      <w:rFonts w:hint="eastAsia"/>
                      <w:bCs/>
                      <w:szCs w:val="21"/>
                    </w:rPr>
                    <w:t>标砖重量</w:t>
                  </w:r>
                </w:p>
              </w:tc>
              <w:tc>
                <w:tcPr>
                  <w:tcW w:w="3157" w:type="dxa"/>
                  <w:noWrap/>
                  <w:vAlign w:val="center"/>
                </w:tcPr>
                <w:p>
                  <w:pPr>
                    <w:spacing w:line="360" w:lineRule="exact"/>
                    <w:jc w:val="center"/>
                    <w:rPr>
                      <w:bCs/>
                      <w:szCs w:val="21"/>
                    </w:rPr>
                  </w:pPr>
                  <w:r>
                    <w:rPr>
                      <w:bCs/>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701" w:type="dxa"/>
                  <w:noWrap/>
                  <w:vAlign w:val="center"/>
                </w:tcPr>
                <w:p>
                  <w:pPr>
                    <w:spacing w:line="360" w:lineRule="exact"/>
                    <w:jc w:val="center"/>
                    <w:rPr>
                      <w:bCs/>
                      <w:szCs w:val="21"/>
                    </w:rPr>
                  </w:pPr>
                  <w:r>
                    <w:rPr>
                      <w:bCs/>
                      <w:szCs w:val="21"/>
                    </w:rPr>
                    <w:t>1</w:t>
                  </w:r>
                </w:p>
              </w:tc>
              <w:tc>
                <w:tcPr>
                  <w:tcW w:w="1794" w:type="dxa"/>
                  <w:noWrap/>
                  <w:vAlign w:val="center"/>
                </w:tcPr>
                <w:p>
                  <w:pPr>
                    <w:spacing w:line="360" w:lineRule="exact"/>
                    <w:jc w:val="center"/>
                    <w:rPr>
                      <w:bCs/>
                      <w:szCs w:val="21"/>
                    </w:rPr>
                  </w:pPr>
                  <w:r>
                    <w:rPr>
                      <w:bCs/>
                      <w:szCs w:val="21"/>
                    </w:rPr>
                    <w:t>马路透水砖</w:t>
                  </w:r>
                </w:p>
              </w:tc>
              <w:tc>
                <w:tcPr>
                  <w:tcW w:w="1882" w:type="dxa"/>
                  <w:noWrap/>
                  <w:vAlign w:val="center"/>
                </w:tcPr>
                <w:p>
                  <w:pPr>
                    <w:spacing w:line="360" w:lineRule="exact"/>
                    <w:jc w:val="center"/>
                    <w:rPr>
                      <w:bCs/>
                      <w:szCs w:val="21"/>
                    </w:rPr>
                  </w:pPr>
                  <w:r>
                    <w:rPr>
                      <w:rFonts w:hint="eastAsia"/>
                      <w:bCs/>
                      <w:szCs w:val="21"/>
                    </w:rPr>
                    <w:t>10</w:t>
                  </w:r>
                  <w:r>
                    <w:rPr>
                      <w:bCs/>
                      <w:szCs w:val="21"/>
                    </w:rPr>
                    <w:t>00万块/年</w:t>
                  </w:r>
                </w:p>
              </w:tc>
              <w:tc>
                <w:tcPr>
                  <w:tcW w:w="1432" w:type="dxa"/>
                  <w:noWrap/>
                  <w:vAlign w:val="center"/>
                </w:tcPr>
                <w:p>
                  <w:pPr>
                    <w:spacing w:line="360" w:lineRule="exact"/>
                    <w:jc w:val="center"/>
                    <w:rPr>
                      <w:bCs/>
                      <w:szCs w:val="21"/>
                    </w:rPr>
                  </w:pPr>
                  <w:r>
                    <w:rPr>
                      <w:rFonts w:hint="eastAsia"/>
                      <w:bCs/>
                      <w:szCs w:val="21"/>
                    </w:rPr>
                    <w:t>2.51kg/块</w:t>
                  </w:r>
                </w:p>
              </w:tc>
              <w:tc>
                <w:tcPr>
                  <w:tcW w:w="3157" w:type="dxa"/>
                  <w:noWrap/>
                  <w:vAlign w:val="center"/>
                </w:tcPr>
                <w:p>
                  <w:pPr>
                    <w:spacing w:line="360" w:lineRule="exact"/>
                    <w:jc w:val="center"/>
                    <w:rPr>
                      <w:bCs/>
                      <w:szCs w:val="21"/>
                    </w:rPr>
                  </w:pPr>
                  <w:r>
                    <w:rPr>
                      <w:bCs/>
                      <w:szCs w:val="21"/>
                    </w:rPr>
                    <w:t>具体尺寸可根据客户需要调整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701" w:type="dxa"/>
                  <w:noWrap/>
                  <w:vAlign w:val="center"/>
                </w:tcPr>
                <w:p>
                  <w:pPr>
                    <w:spacing w:line="360" w:lineRule="exact"/>
                    <w:jc w:val="center"/>
                    <w:rPr>
                      <w:bCs/>
                      <w:szCs w:val="21"/>
                    </w:rPr>
                  </w:pPr>
                  <w:r>
                    <w:rPr>
                      <w:bCs/>
                      <w:szCs w:val="21"/>
                    </w:rPr>
                    <w:t>2</w:t>
                  </w:r>
                </w:p>
              </w:tc>
              <w:tc>
                <w:tcPr>
                  <w:tcW w:w="1794" w:type="dxa"/>
                  <w:noWrap/>
                  <w:vAlign w:val="center"/>
                </w:tcPr>
                <w:p>
                  <w:pPr>
                    <w:spacing w:line="360" w:lineRule="exact"/>
                    <w:jc w:val="center"/>
                    <w:rPr>
                      <w:bCs/>
                      <w:szCs w:val="21"/>
                    </w:rPr>
                  </w:pPr>
                  <w:r>
                    <w:rPr>
                      <w:bCs/>
                      <w:szCs w:val="21"/>
                    </w:rPr>
                    <w:t>市政工程用砖</w:t>
                  </w:r>
                </w:p>
              </w:tc>
              <w:tc>
                <w:tcPr>
                  <w:tcW w:w="1882" w:type="dxa"/>
                  <w:noWrap/>
                  <w:vAlign w:val="center"/>
                </w:tcPr>
                <w:p>
                  <w:pPr>
                    <w:spacing w:line="360" w:lineRule="exact"/>
                    <w:jc w:val="center"/>
                    <w:rPr>
                      <w:bCs/>
                      <w:szCs w:val="21"/>
                    </w:rPr>
                  </w:pPr>
                  <w:r>
                    <w:rPr>
                      <w:rFonts w:hint="eastAsia"/>
                      <w:bCs/>
                      <w:szCs w:val="21"/>
                    </w:rPr>
                    <w:t>10</w:t>
                  </w:r>
                  <w:r>
                    <w:rPr>
                      <w:bCs/>
                      <w:szCs w:val="21"/>
                    </w:rPr>
                    <w:t>00万块/年</w:t>
                  </w:r>
                </w:p>
              </w:tc>
              <w:tc>
                <w:tcPr>
                  <w:tcW w:w="1432" w:type="dxa"/>
                  <w:noWrap/>
                  <w:vAlign w:val="center"/>
                </w:tcPr>
                <w:p>
                  <w:pPr>
                    <w:spacing w:line="360" w:lineRule="exact"/>
                    <w:jc w:val="center"/>
                    <w:rPr>
                      <w:bCs/>
                      <w:szCs w:val="21"/>
                    </w:rPr>
                  </w:pPr>
                  <w:r>
                    <w:rPr>
                      <w:rFonts w:hint="eastAsia"/>
                      <w:bCs/>
                      <w:szCs w:val="21"/>
                    </w:rPr>
                    <w:t>2.51kg/块</w:t>
                  </w:r>
                </w:p>
              </w:tc>
              <w:tc>
                <w:tcPr>
                  <w:tcW w:w="3157" w:type="dxa"/>
                  <w:noWrap/>
                  <w:vAlign w:val="center"/>
                </w:tcPr>
                <w:p>
                  <w:pPr>
                    <w:spacing w:line="360" w:lineRule="exact"/>
                    <w:jc w:val="center"/>
                    <w:rPr>
                      <w:bCs/>
                      <w:szCs w:val="21"/>
                    </w:rPr>
                  </w:pPr>
                  <w:r>
                    <w:rPr>
                      <w:bCs/>
                      <w:szCs w:val="21"/>
                    </w:rPr>
                    <w:t>具体尺寸可根据客户需要调整</w:t>
                  </w:r>
                </w:p>
              </w:tc>
            </w:tr>
          </w:tbl>
          <w:p>
            <w:pPr>
              <w:spacing w:line="520" w:lineRule="exact"/>
              <w:ind w:firstLine="465"/>
              <w:rPr>
                <w:rFonts w:eastAsia="黑体"/>
                <w:sz w:val="24"/>
              </w:rPr>
            </w:pPr>
            <w:r>
              <w:rPr>
                <w:rFonts w:eastAsia="黑体"/>
                <w:sz w:val="24"/>
              </w:rPr>
              <w:t>4.4主要原辅材料</w:t>
            </w:r>
          </w:p>
          <w:p>
            <w:pPr>
              <w:spacing w:line="520" w:lineRule="exact"/>
              <w:ind w:firstLine="480" w:firstLineChars="200"/>
              <w:rPr>
                <w:sz w:val="24"/>
              </w:rPr>
            </w:pPr>
            <w:r>
              <w:rPr>
                <w:sz w:val="24"/>
              </w:rPr>
              <w:t>生产过程中涉及使用的主要原辅材料情况见表5。</w:t>
            </w:r>
          </w:p>
          <w:p>
            <w:pPr>
              <w:pStyle w:val="27"/>
            </w:pP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5</w:t>
            </w:r>
            <w:r>
              <w:rPr>
                <w:rFonts w:eastAsia="黑体"/>
                <w:kern w:val="0"/>
                <w:sz w:val="24"/>
                <w:lang w:val="zh-CN"/>
              </w:rPr>
              <w:t xml:space="preserve">                  项目主要原辅材料一览表</w:t>
            </w:r>
          </w:p>
          <w:tbl>
            <w:tblPr>
              <w:tblStyle w:val="32"/>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884"/>
              <w:gridCol w:w="1380"/>
              <w:gridCol w:w="1860"/>
              <w:gridCol w:w="1440"/>
              <w:gridCol w:w="2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noWrap/>
                  <w:vAlign w:val="center"/>
                </w:tcPr>
                <w:p>
                  <w:pPr>
                    <w:spacing w:line="360" w:lineRule="exact"/>
                    <w:jc w:val="center"/>
                    <w:rPr>
                      <w:bCs/>
                      <w:szCs w:val="21"/>
                    </w:rPr>
                  </w:pPr>
                  <w:r>
                    <w:rPr>
                      <w:bCs/>
                      <w:szCs w:val="21"/>
                    </w:rPr>
                    <w:t>类别</w:t>
                  </w:r>
                </w:p>
              </w:tc>
              <w:tc>
                <w:tcPr>
                  <w:tcW w:w="2264" w:type="dxa"/>
                  <w:gridSpan w:val="2"/>
                  <w:noWrap/>
                  <w:vAlign w:val="center"/>
                </w:tcPr>
                <w:p>
                  <w:pPr>
                    <w:spacing w:line="360" w:lineRule="exact"/>
                    <w:jc w:val="center"/>
                    <w:rPr>
                      <w:bCs/>
                      <w:szCs w:val="21"/>
                    </w:rPr>
                  </w:pPr>
                  <w:r>
                    <w:rPr>
                      <w:bCs/>
                      <w:szCs w:val="21"/>
                    </w:rPr>
                    <w:t>名称</w:t>
                  </w:r>
                </w:p>
              </w:tc>
              <w:tc>
                <w:tcPr>
                  <w:tcW w:w="1860" w:type="dxa"/>
                  <w:noWrap/>
                  <w:vAlign w:val="center"/>
                </w:tcPr>
                <w:p>
                  <w:pPr>
                    <w:spacing w:line="360" w:lineRule="exact"/>
                    <w:jc w:val="center"/>
                    <w:rPr>
                      <w:bCs/>
                      <w:szCs w:val="21"/>
                    </w:rPr>
                  </w:pPr>
                  <w:r>
                    <w:rPr>
                      <w:bCs/>
                      <w:szCs w:val="21"/>
                    </w:rPr>
                    <w:t>性状及规格</w:t>
                  </w:r>
                </w:p>
              </w:tc>
              <w:tc>
                <w:tcPr>
                  <w:tcW w:w="1440" w:type="dxa"/>
                  <w:noWrap/>
                  <w:vAlign w:val="center"/>
                </w:tcPr>
                <w:p>
                  <w:pPr>
                    <w:spacing w:line="360" w:lineRule="exact"/>
                    <w:jc w:val="center"/>
                    <w:rPr>
                      <w:bCs/>
                      <w:szCs w:val="21"/>
                    </w:rPr>
                  </w:pPr>
                  <w:r>
                    <w:rPr>
                      <w:bCs/>
                      <w:szCs w:val="21"/>
                    </w:rPr>
                    <w:t>消耗量</w:t>
                  </w:r>
                </w:p>
              </w:tc>
              <w:tc>
                <w:tcPr>
                  <w:tcW w:w="2767" w:type="dxa"/>
                  <w:noWrap/>
                  <w:vAlign w:val="center"/>
                </w:tcPr>
                <w:p>
                  <w:pPr>
                    <w:spacing w:line="360" w:lineRule="exact"/>
                    <w:jc w:val="center"/>
                    <w:rPr>
                      <w:bCs/>
                      <w:szCs w:val="21"/>
                    </w:rPr>
                  </w:pPr>
                  <w:r>
                    <w:rPr>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restart"/>
                  <w:noWrap/>
                  <w:vAlign w:val="center"/>
                </w:tcPr>
                <w:p>
                  <w:pPr>
                    <w:spacing w:line="360" w:lineRule="exact"/>
                    <w:jc w:val="center"/>
                    <w:rPr>
                      <w:bCs/>
                      <w:szCs w:val="21"/>
                    </w:rPr>
                  </w:pPr>
                  <w:r>
                    <w:rPr>
                      <w:bCs/>
                      <w:szCs w:val="21"/>
                    </w:rPr>
                    <w:t>原辅料</w:t>
                  </w:r>
                </w:p>
              </w:tc>
              <w:tc>
                <w:tcPr>
                  <w:tcW w:w="884" w:type="dxa"/>
                  <w:vMerge w:val="restart"/>
                  <w:noWrap/>
                  <w:vAlign w:val="center"/>
                </w:tcPr>
                <w:p>
                  <w:pPr>
                    <w:spacing w:line="360" w:lineRule="exact"/>
                    <w:jc w:val="center"/>
                    <w:rPr>
                      <w:bCs/>
                      <w:szCs w:val="21"/>
                    </w:rPr>
                  </w:pPr>
                  <w:r>
                    <w:rPr>
                      <w:bCs/>
                      <w:szCs w:val="21"/>
                    </w:rPr>
                    <w:t>马路透水砖及市政工程用砖</w:t>
                  </w:r>
                </w:p>
              </w:tc>
              <w:tc>
                <w:tcPr>
                  <w:tcW w:w="1380" w:type="dxa"/>
                  <w:noWrap/>
                  <w:vAlign w:val="center"/>
                </w:tcPr>
                <w:p>
                  <w:pPr>
                    <w:spacing w:line="360" w:lineRule="exact"/>
                    <w:jc w:val="center"/>
                    <w:rPr>
                      <w:rFonts w:hint="eastAsia" w:eastAsia="宋体"/>
                      <w:bCs/>
                      <w:color w:val="auto"/>
                      <w:szCs w:val="21"/>
                      <w:lang w:eastAsia="zh-CN"/>
                    </w:rPr>
                  </w:pPr>
                  <w:r>
                    <w:rPr>
                      <w:rFonts w:hint="eastAsia"/>
                      <w:bCs/>
                      <w:color w:val="auto"/>
                      <w:szCs w:val="21"/>
                      <w:lang w:eastAsia="zh-CN"/>
                    </w:rPr>
                    <w:t>粉煤灰</w:t>
                  </w:r>
                </w:p>
              </w:tc>
              <w:tc>
                <w:tcPr>
                  <w:tcW w:w="1860" w:type="dxa"/>
                  <w:noWrap/>
                  <w:vAlign w:val="center"/>
                </w:tcPr>
                <w:p>
                  <w:pPr>
                    <w:spacing w:line="360" w:lineRule="exact"/>
                    <w:jc w:val="center"/>
                    <w:rPr>
                      <w:rFonts w:hint="eastAsia" w:eastAsia="宋体"/>
                      <w:bCs/>
                      <w:color w:val="auto"/>
                      <w:szCs w:val="21"/>
                      <w:lang w:eastAsia="zh-CN"/>
                    </w:rPr>
                  </w:pPr>
                  <w:r>
                    <w:rPr>
                      <w:rFonts w:hint="eastAsia"/>
                      <w:bCs/>
                      <w:color w:val="auto"/>
                      <w:szCs w:val="21"/>
                      <w:lang w:eastAsia="zh-CN"/>
                    </w:rPr>
                    <w:t>粉状</w:t>
                  </w:r>
                </w:p>
              </w:tc>
              <w:tc>
                <w:tcPr>
                  <w:tcW w:w="1440" w:type="dxa"/>
                  <w:noWrap/>
                  <w:vAlign w:val="center"/>
                </w:tcPr>
                <w:p>
                  <w:pPr>
                    <w:spacing w:line="360" w:lineRule="exact"/>
                    <w:jc w:val="center"/>
                    <w:rPr>
                      <w:bCs/>
                      <w:color w:val="auto"/>
                      <w:szCs w:val="21"/>
                    </w:rPr>
                  </w:pPr>
                  <w:r>
                    <w:rPr>
                      <w:rFonts w:hint="eastAsia"/>
                      <w:bCs/>
                      <w:color w:val="auto"/>
                      <w:szCs w:val="21"/>
                    </w:rPr>
                    <w:t>6000</w:t>
                  </w:r>
                  <w:r>
                    <w:rPr>
                      <w:bCs/>
                      <w:color w:val="auto"/>
                      <w:szCs w:val="21"/>
                    </w:rPr>
                    <w:t>t/a</w:t>
                  </w:r>
                </w:p>
              </w:tc>
              <w:tc>
                <w:tcPr>
                  <w:tcW w:w="2767" w:type="dxa"/>
                  <w:noWrap/>
                  <w:vAlign w:val="center"/>
                </w:tcPr>
                <w:p>
                  <w:pPr>
                    <w:spacing w:line="360" w:lineRule="exact"/>
                    <w:jc w:val="center"/>
                    <w:rPr>
                      <w:bCs/>
                      <w:color w:val="auto"/>
                      <w:szCs w:val="21"/>
                    </w:rPr>
                  </w:pPr>
                  <w:r>
                    <w:rPr>
                      <w:bCs/>
                      <w:color w:val="auto"/>
                      <w:szCs w:val="21"/>
                    </w:rPr>
                    <w:t>外购，罐储存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石沫</w:t>
                  </w:r>
                </w:p>
              </w:tc>
              <w:tc>
                <w:tcPr>
                  <w:tcW w:w="1860" w:type="dxa"/>
                  <w:noWrap/>
                  <w:vAlign w:val="center"/>
                </w:tcPr>
                <w:p>
                  <w:pPr>
                    <w:spacing w:line="360" w:lineRule="exact"/>
                    <w:jc w:val="center"/>
                    <w:rPr>
                      <w:bCs/>
                      <w:szCs w:val="21"/>
                    </w:rPr>
                  </w:pPr>
                  <w:r>
                    <w:rPr>
                      <w:bCs/>
                      <w:szCs w:val="21"/>
                    </w:rPr>
                    <w:t>粒状</w:t>
                  </w:r>
                  <w:r>
                    <w:rPr>
                      <w:rFonts w:hint="eastAsia"/>
                      <w:bCs/>
                      <w:szCs w:val="21"/>
                    </w:rPr>
                    <w:t>，</w:t>
                  </w:r>
                  <w:r>
                    <w:rPr>
                      <w:rFonts w:hint="eastAsia"/>
                      <w:szCs w:val="21"/>
                    </w:rPr>
                    <w:t>1</w:t>
                  </w:r>
                  <w:r>
                    <w:rPr>
                      <w:szCs w:val="21"/>
                    </w:rPr>
                    <w:t>mm</w:t>
                  </w:r>
                  <w:r>
                    <w:rPr>
                      <w:rFonts w:hint="eastAsia"/>
                      <w:szCs w:val="21"/>
                    </w:rPr>
                    <w:t>-5</w:t>
                  </w:r>
                  <w:r>
                    <w:rPr>
                      <w:szCs w:val="21"/>
                    </w:rPr>
                    <w:t>mm</w:t>
                  </w:r>
                </w:p>
              </w:tc>
              <w:tc>
                <w:tcPr>
                  <w:tcW w:w="1440" w:type="dxa"/>
                  <w:noWrap/>
                  <w:vAlign w:val="center"/>
                </w:tcPr>
                <w:p>
                  <w:pPr>
                    <w:spacing w:line="360" w:lineRule="exact"/>
                    <w:jc w:val="center"/>
                    <w:rPr>
                      <w:bCs/>
                      <w:szCs w:val="21"/>
                    </w:rPr>
                  </w:pPr>
                  <w:r>
                    <w:rPr>
                      <w:rFonts w:hint="eastAsia"/>
                      <w:bCs/>
                      <w:szCs w:val="21"/>
                    </w:rPr>
                    <w:t>16500</w:t>
                  </w:r>
                  <w:r>
                    <w:rPr>
                      <w:bCs/>
                      <w:szCs w:val="21"/>
                    </w:rPr>
                    <w:t>t/a</w:t>
                  </w:r>
                </w:p>
              </w:tc>
              <w:tc>
                <w:tcPr>
                  <w:tcW w:w="2767" w:type="dxa"/>
                  <w:noWrap/>
                  <w:vAlign w:val="center"/>
                </w:tcPr>
                <w:p>
                  <w:pPr>
                    <w:spacing w:line="360" w:lineRule="exact"/>
                    <w:jc w:val="center"/>
                    <w:rPr>
                      <w:bCs/>
                      <w:color w:val="auto"/>
                      <w:szCs w:val="21"/>
                    </w:rPr>
                  </w:pPr>
                  <w:r>
                    <w:rPr>
                      <w:bCs/>
                      <w:color w:val="auto"/>
                      <w:szCs w:val="21"/>
                    </w:rPr>
                    <w:t>外购，封闭料场储存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沙子</w:t>
                  </w:r>
                </w:p>
              </w:tc>
              <w:tc>
                <w:tcPr>
                  <w:tcW w:w="1860" w:type="dxa"/>
                  <w:noWrap/>
                  <w:vAlign w:val="center"/>
                </w:tcPr>
                <w:p>
                  <w:pPr>
                    <w:spacing w:line="360" w:lineRule="exact"/>
                    <w:jc w:val="center"/>
                    <w:rPr>
                      <w:bCs/>
                      <w:szCs w:val="21"/>
                    </w:rPr>
                  </w:pPr>
                  <w:r>
                    <w:rPr>
                      <w:szCs w:val="21"/>
                    </w:rPr>
                    <w:t>0.25-0.5mm</w:t>
                  </w:r>
                </w:p>
              </w:tc>
              <w:tc>
                <w:tcPr>
                  <w:tcW w:w="1440" w:type="dxa"/>
                  <w:noWrap/>
                  <w:vAlign w:val="center"/>
                </w:tcPr>
                <w:p>
                  <w:pPr>
                    <w:spacing w:line="360" w:lineRule="exact"/>
                    <w:jc w:val="center"/>
                    <w:rPr>
                      <w:bCs/>
                      <w:szCs w:val="21"/>
                    </w:rPr>
                  </w:pPr>
                  <w:r>
                    <w:rPr>
                      <w:rFonts w:hint="eastAsia"/>
                      <w:bCs/>
                      <w:szCs w:val="21"/>
                    </w:rPr>
                    <w:t>20</w:t>
                  </w:r>
                  <w:r>
                    <w:rPr>
                      <w:bCs/>
                      <w:szCs w:val="21"/>
                    </w:rPr>
                    <w:t>000t/a</w:t>
                  </w:r>
                </w:p>
              </w:tc>
              <w:tc>
                <w:tcPr>
                  <w:tcW w:w="2767" w:type="dxa"/>
                  <w:noWrap/>
                  <w:vAlign w:val="center"/>
                </w:tcPr>
                <w:p>
                  <w:pPr>
                    <w:spacing w:line="360" w:lineRule="exact"/>
                    <w:jc w:val="center"/>
                    <w:rPr>
                      <w:bCs/>
                      <w:color w:val="auto"/>
                      <w:szCs w:val="21"/>
                    </w:rPr>
                  </w:pPr>
                  <w:r>
                    <w:rPr>
                      <w:bCs/>
                      <w:color w:val="auto"/>
                      <w:szCs w:val="21"/>
                    </w:rPr>
                    <w:t>外购，封闭料场储存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水泥</w:t>
                  </w:r>
                </w:p>
              </w:tc>
              <w:tc>
                <w:tcPr>
                  <w:tcW w:w="1860" w:type="dxa"/>
                  <w:noWrap/>
                  <w:vAlign w:val="center"/>
                </w:tcPr>
                <w:p>
                  <w:pPr>
                    <w:spacing w:line="360" w:lineRule="exact"/>
                    <w:jc w:val="center"/>
                    <w:rPr>
                      <w:bCs/>
                      <w:szCs w:val="21"/>
                    </w:rPr>
                  </w:pPr>
                  <w:r>
                    <w:rPr>
                      <w:bCs/>
                      <w:szCs w:val="21"/>
                    </w:rPr>
                    <w:t>粉状</w:t>
                  </w:r>
                </w:p>
              </w:tc>
              <w:tc>
                <w:tcPr>
                  <w:tcW w:w="1440" w:type="dxa"/>
                  <w:noWrap/>
                  <w:vAlign w:val="center"/>
                </w:tcPr>
                <w:p>
                  <w:pPr>
                    <w:spacing w:line="360" w:lineRule="exact"/>
                    <w:jc w:val="center"/>
                    <w:rPr>
                      <w:bCs/>
                      <w:szCs w:val="21"/>
                    </w:rPr>
                  </w:pPr>
                  <w:r>
                    <w:rPr>
                      <w:rFonts w:hint="eastAsia"/>
                      <w:bCs/>
                      <w:szCs w:val="21"/>
                    </w:rPr>
                    <w:t>75</w:t>
                  </w:r>
                  <w:r>
                    <w:rPr>
                      <w:bCs/>
                      <w:szCs w:val="21"/>
                    </w:rPr>
                    <w:t>00t/a</w:t>
                  </w:r>
                </w:p>
              </w:tc>
              <w:tc>
                <w:tcPr>
                  <w:tcW w:w="2767" w:type="dxa"/>
                  <w:noWrap/>
                  <w:vAlign w:val="center"/>
                </w:tcPr>
                <w:p>
                  <w:pPr>
                    <w:spacing w:line="360" w:lineRule="exact"/>
                    <w:jc w:val="center"/>
                    <w:rPr>
                      <w:bCs/>
                      <w:szCs w:val="21"/>
                    </w:rPr>
                  </w:pPr>
                  <w:r>
                    <w:rPr>
                      <w:bCs/>
                      <w:szCs w:val="21"/>
                    </w:rPr>
                    <w:t>外购，水泥罐储存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透水剂</w:t>
                  </w:r>
                </w:p>
              </w:tc>
              <w:tc>
                <w:tcPr>
                  <w:tcW w:w="1860" w:type="dxa"/>
                  <w:noWrap/>
                  <w:vAlign w:val="center"/>
                </w:tcPr>
                <w:p>
                  <w:pPr>
                    <w:spacing w:line="360" w:lineRule="exact"/>
                    <w:jc w:val="center"/>
                    <w:rPr>
                      <w:bCs/>
                      <w:szCs w:val="21"/>
                    </w:rPr>
                  </w:pPr>
                  <w:r>
                    <w:rPr>
                      <w:rFonts w:hint="eastAsia"/>
                      <w:bCs/>
                      <w:szCs w:val="21"/>
                    </w:rPr>
                    <w:t>颗</w:t>
                  </w:r>
                  <w:r>
                    <w:rPr>
                      <w:bCs/>
                      <w:szCs w:val="21"/>
                    </w:rPr>
                    <w:t>粒状</w:t>
                  </w:r>
                </w:p>
              </w:tc>
              <w:tc>
                <w:tcPr>
                  <w:tcW w:w="1440" w:type="dxa"/>
                  <w:noWrap/>
                  <w:vAlign w:val="center"/>
                </w:tcPr>
                <w:p>
                  <w:pPr>
                    <w:spacing w:line="360" w:lineRule="exact"/>
                    <w:jc w:val="center"/>
                    <w:rPr>
                      <w:bCs/>
                      <w:szCs w:val="21"/>
                    </w:rPr>
                  </w:pPr>
                  <w:r>
                    <w:rPr>
                      <w:bCs/>
                      <w:szCs w:val="21"/>
                    </w:rPr>
                    <w:t>1</w:t>
                  </w:r>
                  <w:r>
                    <w:rPr>
                      <w:rFonts w:hint="eastAsia"/>
                      <w:bCs/>
                      <w:szCs w:val="21"/>
                    </w:rPr>
                    <w:t>25</w:t>
                  </w:r>
                  <w:r>
                    <w:rPr>
                      <w:bCs/>
                      <w:szCs w:val="21"/>
                    </w:rPr>
                    <w:t>t/a</w:t>
                  </w:r>
                </w:p>
              </w:tc>
              <w:tc>
                <w:tcPr>
                  <w:tcW w:w="2767" w:type="dxa"/>
                  <w:noWrap/>
                  <w:vAlign w:val="center"/>
                </w:tcPr>
                <w:p>
                  <w:pPr>
                    <w:spacing w:line="360" w:lineRule="exact"/>
                    <w:jc w:val="center"/>
                    <w:rPr>
                      <w:bCs/>
                      <w:szCs w:val="21"/>
                    </w:rPr>
                  </w:pPr>
                  <w:r>
                    <w:rPr>
                      <w:bCs/>
                      <w:szCs w:val="21"/>
                    </w:rPr>
                    <w:t>袋装，25kg/袋，外购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颜料</w:t>
                  </w:r>
                </w:p>
              </w:tc>
              <w:tc>
                <w:tcPr>
                  <w:tcW w:w="1860" w:type="dxa"/>
                  <w:noWrap/>
                  <w:vAlign w:val="center"/>
                </w:tcPr>
                <w:p>
                  <w:pPr>
                    <w:spacing w:line="360" w:lineRule="exact"/>
                    <w:jc w:val="center"/>
                    <w:rPr>
                      <w:bCs/>
                      <w:szCs w:val="21"/>
                    </w:rPr>
                  </w:pPr>
                  <w:r>
                    <w:rPr>
                      <w:bCs/>
                      <w:szCs w:val="21"/>
                    </w:rPr>
                    <w:t>粉状</w:t>
                  </w:r>
                </w:p>
              </w:tc>
              <w:tc>
                <w:tcPr>
                  <w:tcW w:w="1440" w:type="dxa"/>
                  <w:noWrap/>
                  <w:vAlign w:val="center"/>
                </w:tcPr>
                <w:p>
                  <w:pPr>
                    <w:spacing w:line="360" w:lineRule="exact"/>
                    <w:jc w:val="center"/>
                    <w:rPr>
                      <w:bCs/>
                      <w:szCs w:val="21"/>
                    </w:rPr>
                  </w:pPr>
                  <w:r>
                    <w:rPr>
                      <w:bCs/>
                      <w:szCs w:val="21"/>
                    </w:rPr>
                    <w:t>1</w:t>
                  </w:r>
                  <w:r>
                    <w:rPr>
                      <w:rFonts w:hint="eastAsia"/>
                      <w:bCs/>
                      <w:szCs w:val="21"/>
                    </w:rPr>
                    <w:t>25</w:t>
                  </w:r>
                  <w:r>
                    <w:rPr>
                      <w:bCs/>
                      <w:szCs w:val="21"/>
                    </w:rPr>
                    <w:t>t/a</w:t>
                  </w:r>
                </w:p>
              </w:tc>
              <w:tc>
                <w:tcPr>
                  <w:tcW w:w="2767" w:type="dxa"/>
                  <w:noWrap/>
                  <w:vAlign w:val="center"/>
                </w:tcPr>
                <w:p>
                  <w:pPr>
                    <w:spacing w:line="360" w:lineRule="exact"/>
                    <w:jc w:val="center"/>
                    <w:rPr>
                      <w:bCs/>
                      <w:szCs w:val="21"/>
                    </w:rPr>
                  </w:pPr>
                  <w:r>
                    <w:rPr>
                      <w:bCs/>
                      <w:szCs w:val="21"/>
                    </w:rPr>
                    <w:t>外购，袋装，25kg/袋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49" w:type="dxa"/>
                  <w:vMerge w:val="restart"/>
                  <w:noWrap/>
                  <w:vAlign w:val="center"/>
                </w:tcPr>
                <w:p>
                  <w:pPr>
                    <w:spacing w:line="360" w:lineRule="exact"/>
                    <w:jc w:val="center"/>
                    <w:rPr>
                      <w:bCs/>
                      <w:szCs w:val="21"/>
                    </w:rPr>
                  </w:pPr>
                  <w:r>
                    <w:rPr>
                      <w:bCs/>
                      <w:szCs w:val="21"/>
                    </w:rPr>
                    <w:t>资源能源</w:t>
                  </w:r>
                </w:p>
              </w:tc>
              <w:tc>
                <w:tcPr>
                  <w:tcW w:w="884" w:type="dxa"/>
                  <w:noWrap/>
                  <w:vAlign w:val="center"/>
                </w:tcPr>
                <w:p>
                  <w:pPr>
                    <w:spacing w:line="360" w:lineRule="exact"/>
                    <w:jc w:val="center"/>
                    <w:rPr>
                      <w:bCs/>
                      <w:szCs w:val="21"/>
                    </w:rPr>
                  </w:pPr>
                  <w:r>
                    <w:rPr>
                      <w:bCs/>
                      <w:szCs w:val="21"/>
                    </w:rPr>
                    <w:t>/</w:t>
                  </w:r>
                </w:p>
              </w:tc>
              <w:tc>
                <w:tcPr>
                  <w:tcW w:w="1380" w:type="dxa"/>
                  <w:noWrap/>
                  <w:vAlign w:val="center"/>
                </w:tcPr>
                <w:p>
                  <w:pPr>
                    <w:spacing w:line="360" w:lineRule="exact"/>
                    <w:jc w:val="center"/>
                    <w:rPr>
                      <w:bCs/>
                      <w:szCs w:val="21"/>
                    </w:rPr>
                  </w:pPr>
                  <w:r>
                    <w:rPr>
                      <w:bCs/>
                      <w:szCs w:val="21"/>
                    </w:rPr>
                    <w:t>电</w:t>
                  </w:r>
                </w:p>
              </w:tc>
              <w:tc>
                <w:tcPr>
                  <w:tcW w:w="1860" w:type="dxa"/>
                  <w:noWrap/>
                  <w:vAlign w:val="center"/>
                </w:tcPr>
                <w:p>
                  <w:pPr>
                    <w:spacing w:line="360" w:lineRule="exact"/>
                    <w:jc w:val="center"/>
                    <w:rPr>
                      <w:bCs/>
                      <w:szCs w:val="21"/>
                    </w:rPr>
                  </w:pPr>
                  <w:r>
                    <w:rPr>
                      <w:bCs/>
                      <w:szCs w:val="21"/>
                    </w:rPr>
                    <w:t>/</w:t>
                  </w:r>
                </w:p>
              </w:tc>
              <w:tc>
                <w:tcPr>
                  <w:tcW w:w="1440" w:type="dxa"/>
                  <w:noWrap/>
                  <w:vAlign w:val="center"/>
                </w:tcPr>
                <w:p>
                  <w:pPr>
                    <w:spacing w:line="360" w:lineRule="exact"/>
                    <w:jc w:val="center"/>
                    <w:rPr>
                      <w:bCs/>
                      <w:szCs w:val="21"/>
                    </w:rPr>
                  </w:pPr>
                  <w:r>
                    <w:rPr>
                      <w:bCs/>
                      <w:szCs w:val="21"/>
                    </w:rPr>
                    <w:t>30000kW·h/a</w:t>
                  </w:r>
                </w:p>
              </w:tc>
              <w:tc>
                <w:tcPr>
                  <w:tcW w:w="2767" w:type="dxa"/>
                  <w:noWrap/>
                  <w:vAlign w:val="center"/>
                </w:tcPr>
                <w:p>
                  <w:pPr>
                    <w:spacing w:line="360" w:lineRule="exact"/>
                    <w:jc w:val="center"/>
                    <w:rPr>
                      <w:bCs/>
                      <w:szCs w:val="21"/>
                    </w:rPr>
                  </w:pPr>
                  <w:r>
                    <w:rPr>
                      <w:bCs/>
                      <w:szCs w:val="21"/>
                    </w:rPr>
                    <w:t>来自区域电网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i/>
                      <w:szCs w:val="21"/>
                      <w:u w:val="single"/>
                    </w:rPr>
                  </w:pPr>
                </w:p>
              </w:tc>
              <w:tc>
                <w:tcPr>
                  <w:tcW w:w="884" w:type="dxa"/>
                  <w:noWrap/>
                  <w:vAlign w:val="center"/>
                </w:tcPr>
                <w:p>
                  <w:pPr>
                    <w:spacing w:line="360" w:lineRule="exact"/>
                    <w:jc w:val="center"/>
                    <w:rPr>
                      <w:i/>
                      <w:szCs w:val="21"/>
                      <w:u w:val="single"/>
                    </w:rPr>
                  </w:pPr>
                  <w:r>
                    <w:rPr>
                      <w:i/>
                      <w:szCs w:val="21"/>
                      <w:u w:val="none"/>
                    </w:rPr>
                    <w:t>/</w:t>
                  </w:r>
                </w:p>
              </w:tc>
              <w:tc>
                <w:tcPr>
                  <w:tcW w:w="1380" w:type="dxa"/>
                  <w:noWrap/>
                  <w:vAlign w:val="center"/>
                </w:tcPr>
                <w:p>
                  <w:pPr>
                    <w:spacing w:line="360" w:lineRule="exact"/>
                    <w:jc w:val="center"/>
                    <w:rPr>
                      <w:bCs/>
                      <w:szCs w:val="21"/>
                    </w:rPr>
                  </w:pPr>
                  <w:r>
                    <w:rPr>
                      <w:bCs/>
                      <w:szCs w:val="21"/>
                    </w:rPr>
                    <w:t>水</w:t>
                  </w:r>
                </w:p>
              </w:tc>
              <w:tc>
                <w:tcPr>
                  <w:tcW w:w="1860" w:type="dxa"/>
                  <w:noWrap/>
                  <w:vAlign w:val="center"/>
                </w:tcPr>
                <w:p>
                  <w:pPr>
                    <w:spacing w:line="360" w:lineRule="exact"/>
                    <w:jc w:val="center"/>
                    <w:rPr>
                      <w:bCs/>
                      <w:szCs w:val="21"/>
                    </w:rPr>
                  </w:pPr>
                  <w:r>
                    <w:rPr>
                      <w:bCs/>
                      <w:szCs w:val="21"/>
                    </w:rPr>
                    <w:t>/</w:t>
                  </w:r>
                </w:p>
              </w:tc>
              <w:tc>
                <w:tcPr>
                  <w:tcW w:w="1440" w:type="dxa"/>
                  <w:noWrap/>
                  <w:vAlign w:val="center"/>
                </w:tcPr>
                <w:p>
                  <w:pPr>
                    <w:spacing w:line="360" w:lineRule="exact"/>
                    <w:jc w:val="center"/>
                    <w:rPr>
                      <w:bCs/>
                      <w:szCs w:val="21"/>
                    </w:rPr>
                  </w:pPr>
                  <w:r>
                    <w:rPr>
                      <w:rFonts w:hint="eastAsia"/>
                      <w:bCs/>
                      <w:color w:val="auto"/>
                      <w:szCs w:val="21"/>
                      <w:lang w:val="en-US" w:eastAsia="zh-CN"/>
                    </w:rPr>
                    <w:t>8248</w:t>
                  </w:r>
                  <w:r>
                    <w:rPr>
                      <w:bCs/>
                      <w:color w:val="auto"/>
                      <w:szCs w:val="21"/>
                    </w:rPr>
                    <w:t>m</w:t>
                  </w:r>
                  <w:r>
                    <w:rPr>
                      <w:bCs/>
                      <w:color w:val="auto"/>
                      <w:szCs w:val="21"/>
                      <w:vertAlign w:val="superscript"/>
                    </w:rPr>
                    <w:t>3</w:t>
                  </w:r>
                  <w:r>
                    <w:rPr>
                      <w:bCs/>
                      <w:color w:val="auto"/>
                      <w:szCs w:val="21"/>
                    </w:rPr>
                    <w:t>/a</w:t>
                  </w:r>
                </w:p>
              </w:tc>
              <w:tc>
                <w:tcPr>
                  <w:tcW w:w="2767" w:type="dxa"/>
                  <w:noWrap/>
                  <w:vAlign w:val="center"/>
                </w:tcPr>
                <w:p>
                  <w:pPr>
                    <w:spacing w:line="360" w:lineRule="exact"/>
                    <w:jc w:val="center"/>
                    <w:rPr>
                      <w:bCs/>
                      <w:szCs w:val="21"/>
                    </w:rPr>
                  </w:pPr>
                  <w:r>
                    <w:rPr>
                      <w:bCs/>
                      <w:szCs w:val="21"/>
                    </w:rPr>
                    <w:t>来自自备水井</w:t>
                  </w:r>
                </w:p>
              </w:tc>
            </w:tr>
          </w:tbl>
          <w:p>
            <w:pPr>
              <w:keepNext w:val="0"/>
              <w:keepLines w:val="0"/>
              <w:pageBreakBefore w:val="0"/>
              <w:widowControl w:val="0"/>
              <w:kinsoku/>
              <w:wordWrap/>
              <w:overflowPunct/>
              <w:topLinePunct w:val="0"/>
              <w:autoSpaceDE/>
              <w:autoSpaceDN/>
              <w:bidi w:val="0"/>
              <w:adjustRightInd/>
              <w:snapToGrid/>
              <w:spacing w:line="240" w:lineRule="auto"/>
              <w:ind w:firstLine="465"/>
              <w:textAlignment w:val="auto"/>
              <w:rPr>
                <w:rFonts w:hint="default" w:eastAsia="宋体"/>
                <w:sz w:val="21"/>
                <w:szCs w:val="21"/>
                <w:lang w:val="en-US" w:eastAsia="zh-CN"/>
              </w:rPr>
            </w:pPr>
            <w:r>
              <w:rPr>
                <w:rFonts w:hint="eastAsia"/>
                <w:sz w:val="21"/>
                <w:szCs w:val="21"/>
                <w:lang w:eastAsia="zh-CN"/>
              </w:rPr>
              <w:t>注：项目原料、粉煤灰、石墨、沙子主要从鲁山县梁洼镇购买，主要运输道路为</w:t>
            </w:r>
            <w:r>
              <w:rPr>
                <w:rFonts w:hint="eastAsia"/>
                <w:sz w:val="21"/>
                <w:szCs w:val="21"/>
                <w:lang w:val="en-US" w:eastAsia="zh-CN"/>
              </w:rPr>
              <w:t>G311国道。</w:t>
            </w:r>
          </w:p>
          <w:p>
            <w:pPr>
              <w:spacing w:line="520" w:lineRule="exact"/>
              <w:ind w:firstLine="465"/>
              <w:rPr>
                <w:sz w:val="24"/>
              </w:rPr>
            </w:pPr>
            <w:r>
              <w:rPr>
                <w:sz w:val="24"/>
              </w:rPr>
              <w:t>透水剂：本项目使用透水剂为灰色粉末状物质，其主要成分为二氧化硅、氧化钙、氧化镁等物质，化学性质稳定。</w:t>
            </w:r>
          </w:p>
          <w:p>
            <w:pPr>
              <w:spacing w:line="520" w:lineRule="exact"/>
              <w:ind w:firstLine="480" w:firstLineChars="200"/>
              <w:rPr>
                <w:sz w:val="24"/>
              </w:rPr>
            </w:pPr>
            <w:r>
              <w:rPr>
                <w:sz w:val="24"/>
              </w:rPr>
              <w:t>颜料：本项目使用的颜料主要成分为氧化铁</w:t>
            </w:r>
            <w:r>
              <w:rPr>
                <w:rFonts w:hint="eastAsia"/>
                <w:sz w:val="24"/>
                <w:lang w:eastAsia="zh-CN"/>
              </w:rPr>
              <w:t>，</w:t>
            </w:r>
            <w:r>
              <w:rPr>
                <w:rFonts w:hint="default" w:ascii="Times New Roman" w:hAnsi="Times New Roman" w:cs="Times New Roman"/>
                <w:sz w:val="24"/>
              </w:rPr>
              <w:t>化学性质稳定，是一种重要的无机彩色颜料。具有优异的耐光、耐高温、耐酸、耐碱、防锈性。分散性好，着色力和遮盖力很强，无油渗性和水渗性。</w:t>
            </w:r>
            <w:r>
              <w:rPr>
                <w:sz w:val="24"/>
              </w:rPr>
              <w:t>根据产品颜色分为氧化铁红、氧化铁黄、氧化铁黑、氧化铁棕等。此类颜料涉及的色谱较宽，具有均匀的粒度、良好的着色力和分散性，成本低、稳定性好且无毒。</w:t>
            </w:r>
          </w:p>
          <w:p>
            <w:pPr>
              <w:spacing w:line="520" w:lineRule="exact"/>
              <w:ind w:firstLine="465"/>
              <w:rPr>
                <w:rFonts w:eastAsia="黑体"/>
                <w:sz w:val="24"/>
              </w:rPr>
            </w:pPr>
            <w:r>
              <w:rPr>
                <w:rFonts w:eastAsia="黑体"/>
                <w:sz w:val="24"/>
              </w:rPr>
              <w:t>4.5项目主要设备</w:t>
            </w:r>
          </w:p>
          <w:p>
            <w:pPr>
              <w:spacing w:line="520" w:lineRule="exact"/>
              <w:ind w:firstLine="465"/>
              <w:rPr>
                <w:sz w:val="24"/>
              </w:rPr>
            </w:pPr>
            <w:r>
              <w:rPr>
                <w:sz w:val="24"/>
              </w:rPr>
              <w:t>项目生产过程中涉及使用的主要生产情况见表6。</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6</w:t>
            </w:r>
            <w:r>
              <w:rPr>
                <w:rFonts w:eastAsia="黑体"/>
                <w:kern w:val="0"/>
                <w:sz w:val="24"/>
                <w:lang w:val="zh-CN"/>
              </w:rPr>
              <w:t xml:space="preserve">                  项目设备情况一览表</w:t>
            </w:r>
          </w:p>
          <w:tbl>
            <w:tblPr>
              <w:tblStyle w:val="32"/>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2120"/>
              <w:gridCol w:w="1624"/>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设备名称</w:t>
                  </w:r>
                </w:p>
              </w:tc>
              <w:tc>
                <w:tcPr>
                  <w:tcW w:w="2120" w:type="dxa"/>
                  <w:noWrap/>
                  <w:vAlign w:val="center"/>
                </w:tcPr>
                <w:p>
                  <w:pPr>
                    <w:spacing w:line="360" w:lineRule="exact"/>
                    <w:jc w:val="center"/>
                    <w:rPr>
                      <w:szCs w:val="21"/>
                    </w:rPr>
                  </w:pPr>
                  <w:r>
                    <w:rPr>
                      <w:szCs w:val="21"/>
                    </w:rPr>
                    <w:t>型号</w:t>
                  </w:r>
                </w:p>
              </w:tc>
              <w:tc>
                <w:tcPr>
                  <w:tcW w:w="1624" w:type="dxa"/>
                  <w:noWrap/>
                  <w:vAlign w:val="center"/>
                </w:tcPr>
                <w:p>
                  <w:pPr>
                    <w:spacing w:line="360" w:lineRule="exact"/>
                    <w:jc w:val="center"/>
                    <w:rPr>
                      <w:szCs w:val="21"/>
                    </w:rPr>
                  </w:pPr>
                  <w:r>
                    <w:rPr>
                      <w:szCs w:val="21"/>
                    </w:rPr>
                    <w:t>数量（台）</w:t>
                  </w:r>
                </w:p>
              </w:tc>
              <w:tc>
                <w:tcPr>
                  <w:tcW w:w="2877" w:type="dxa"/>
                  <w:noWrap/>
                  <w:vAlign w:val="center"/>
                </w:tcPr>
                <w:p>
                  <w:pPr>
                    <w:spacing w:line="36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color w:val="auto"/>
                      <w:szCs w:val="21"/>
                    </w:rPr>
                  </w:pPr>
                  <w:r>
                    <w:rPr>
                      <w:color w:val="auto"/>
                      <w:kern w:val="0"/>
                      <w:szCs w:val="21"/>
                      <w:lang w:val="zh-CN"/>
                    </w:rPr>
                    <w:t>水泥罐</w:t>
                  </w:r>
                </w:p>
              </w:tc>
              <w:tc>
                <w:tcPr>
                  <w:tcW w:w="2120" w:type="dxa"/>
                  <w:noWrap/>
                  <w:vAlign w:val="center"/>
                </w:tcPr>
                <w:p>
                  <w:pPr>
                    <w:spacing w:line="360" w:lineRule="exact"/>
                    <w:jc w:val="center"/>
                    <w:rPr>
                      <w:color w:val="auto"/>
                      <w:szCs w:val="21"/>
                    </w:rPr>
                  </w:pPr>
                  <w:r>
                    <w:rPr>
                      <w:rFonts w:hint="eastAsia"/>
                      <w:color w:val="auto"/>
                      <w:szCs w:val="21"/>
                      <w:lang w:val="en-US" w:eastAsia="zh-CN"/>
                    </w:rPr>
                    <w:t>10</w:t>
                  </w:r>
                  <w:r>
                    <w:rPr>
                      <w:color w:val="auto"/>
                      <w:szCs w:val="21"/>
                    </w:rPr>
                    <w:t>0T</w:t>
                  </w:r>
                </w:p>
              </w:tc>
              <w:tc>
                <w:tcPr>
                  <w:tcW w:w="1624" w:type="dxa"/>
                  <w:noWrap/>
                  <w:vAlign w:val="center"/>
                </w:tcPr>
                <w:p>
                  <w:pPr>
                    <w:spacing w:line="360" w:lineRule="exact"/>
                    <w:jc w:val="center"/>
                    <w:rPr>
                      <w:rFonts w:hint="eastAsia" w:eastAsia="宋体"/>
                      <w:color w:val="auto"/>
                      <w:szCs w:val="21"/>
                      <w:lang w:eastAsia="zh-CN"/>
                    </w:rPr>
                  </w:pPr>
                  <w:r>
                    <w:rPr>
                      <w:rFonts w:hint="eastAsia"/>
                      <w:color w:val="auto"/>
                      <w:szCs w:val="21"/>
                      <w:lang w:val="en-US" w:eastAsia="zh-CN"/>
                    </w:rPr>
                    <w:t>1</w:t>
                  </w:r>
                </w:p>
              </w:tc>
              <w:tc>
                <w:tcPr>
                  <w:tcW w:w="2877" w:type="dxa"/>
                  <w:noWrap/>
                  <w:vAlign w:val="center"/>
                </w:tcPr>
                <w:p>
                  <w:pPr>
                    <w:spacing w:line="360" w:lineRule="exact"/>
                    <w:jc w:val="center"/>
                    <w:rPr>
                      <w:color w:val="auto"/>
                      <w:szCs w:val="21"/>
                    </w:rPr>
                  </w:pPr>
                  <w:r>
                    <w:rPr>
                      <w:color w:val="auto"/>
                      <w:szCs w:val="21"/>
                    </w:rPr>
                    <w:t>水泥储仓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rFonts w:hint="eastAsia" w:eastAsia="宋体"/>
                      <w:color w:val="auto"/>
                      <w:szCs w:val="21"/>
                      <w:lang w:eastAsia="zh-CN"/>
                    </w:rPr>
                  </w:pPr>
                  <w:r>
                    <w:rPr>
                      <w:rFonts w:hint="eastAsia"/>
                      <w:color w:val="auto"/>
                      <w:szCs w:val="21"/>
                      <w:lang w:eastAsia="zh-CN"/>
                    </w:rPr>
                    <w:t>粉煤灰罐</w:t>
                  </w:r>
                </w:p>
              </w:tc>
              <w:tc>
                <w:tcPr>
                  <w:tcW w:w="2120" w:type="dxa"/>
                  <w:noWrap/>
                  <w:vAlign w:val="center"/>
                </w:tcPr>
                <w:p>
                  <w:pPr>
                    <w:spacing w:line="360" w:lineRule="exact"/>
                    <w:jc w:val="center"/>
                    <w:rPr>
                      <w:rFonts w:hint="default"/>
                      <w:color w:val="auto"/>
                      <w:szCs w:val="21"/>
                      <w:lang w:val="en-US" w:eastAsia="zh-CN"/>
                    </w:rPr>
                  </w:pPr>
                  <w:r>
                    <w:rPr>
                      <w:rFonts w:hint="eastAsia"/>
                      <w:color w:val="auto"/>
                      <w:szCs w:val="21"/>
                      <w:lang w:val="en-US" w:eastAsia="zh-CN"/>
                    </w:rPr>
                    <w:t>100T</w:t>
                  </w:r>
                </w:p>
              </w:tc>
              <w:tc>
                <w:tcPr>
                  <w:tcW w:w="1624" w:type="dxa"/>
                  <w:noWrap/>
                  <w:vAlign w:val="center"/>
                </w:tcPr>
                <w:p>
                  <w:pPr>
                    <w:spacing w:line="360" w:lineRule="exact"/>
                    <w:jc w:val="center"/>
                    <w:rPr>
                      <w:rFonts w:hint="eastAsia" w:eastAsia="宋体"/>
                      <w:color w:val="auto"/>
                      <w:szCs w:val="21"/>
                      <w:lang w:val="en-US" w:eastAsia="zh-CN"/>
                    </w:rPr>
                  </w:pPr>
                  <w:r>
                    <w:rPr>
                      <w:rFonts w:hint="eastAsia"/>
                      <w:color w:val="auto"/>
                      <w:szCs w:val="21"/>
                      <w:lang w:val="en-US" w:eastAsia="zh-CN"/>
                    </w:rPr>
                    <w:t>1</w:t>
                  </w:r>
                </w:p>
              </w:tc>
              <w:tc>
                <w:tcPr>
                  <w:tcW w:w="2877" w:type="dxa"/>
                  <w:noWrap/>
                  <w:vAlign w:val="center"/>
                </w:tcPr>
                <w:p>
                  <w:pPr>
                    <w:spacing w:line="360" w:lineRule="exact"/>
                    <w:jc w:val="center"/>
                    <w:rPr>
                      <w:rFonts w:hint="eastAsia" w:eastAsia="宋体"/>
                      <w:color w:val="auto"/>
                      <w:szCs w:val="21"/>
                      <w:lang w:eastAsia="zh-CN"/>
                    </w:rPr>
                  </w:pPr>
                  <w:r>
                    <w:rPr>
                      <w:rFonts w:hint="eastAsia"/>
                      <w:color w:val="auto"/>
                      <w:szCs w:val="21"/>
                      <w:lang w:eastAsia="zh-CN"/>
                    </w:rPr>
                    <w:t>粉煤灰储仓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kern w:val="0"/>
                      <w:szCs w:val="21"/>
                      <w:lang w:val="zh-CN"/>
                    </w:rPr>
                    <w:t>水泥螺旋推进器</w:t>
                  </w:r>
                </w:p>
              </w:tc>
              <w:tc>
                <w:tcPr>
                  <w:tcW w:w="2120" w:type="dxa"/>
                  <w:noWrap/>
                  <w:vAlign w:val="center"/>
                </w:tcPr>
                <w:p>
                  <w:pPr>
                    <w:spacing w:line="360" w:lineRule="exact"/>
                    <w:jc w:val="center"/>
                    <w:rPr>
                      <w:szCs w:val="21"/>
                    </w:rPr>
                  </w:pPr>
                  <w:r>
                    <w:rPr>
                      <w:szCs w:val="21"/>
                    </w:rPr>
                    <w:t>LSY160-8</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电子配料机</w:t>
                  </w:r>
                </w:p>
              </w:tc>
              <w:tc>
                <w:tcPr>
                  <w:tcW w:w="2120" w:type="dxa"/>
                  <w:noWrap/>
                  <w:vAlign w:val="center"/>
                </w:tcPr>
                <w:p>
                  <w:pPr>
                    <w:spacing w:line="360" w:lineRule="exact"/>
                    <w:jc w:val="center"/>
                    <w:rPr>
                      <w:szCs w:val="21"/>
                    </w:rPr>
                  </w:pPr>
                  <w:r>
                    <w:rPr>
                      <w:szCs w:val="21"/>
                    </w:rPr>
                    <w:t>PLD1200</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物料输送机</w:t>
                  </w:r>
                </w:p>
              </w:tc>
              <w:tc>
                <w:tcPr>
                  <w:tcW w:w="2120" w:type="dxa"/>
                  <w:noWrap/>
                  <w:vAlign w:val="center"/>
                </w:tcPr>
                <w:p>
                  <w:pPr>
                    <w:spacing w:line="360" w:lineRule="exact"/>
                    <w:jc w:val="center"/>
                    <w:rPr>
                      <w:szCs w:val="21"/>
                    </w:rPr>
                  </w:pPr>
                  <w:r>
                    <w:rPr>
                      <w:szCs w:val="21"/>
                    </w:rPr>
                    <w:t>9000mm</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搅拌机</w:t>
                  </w:r>
                </w:p>
              </w:tc>
              <w:tc>
                <w:tcPr>
                  <w:tcW w:w="2120" w:type="dxa"/>
                  <w:noWrap/>
                  <w:vAlign w:val="center"/>
                </w:tcPr>
                <w:p>
                  <w:pPr>
                    <w:spacing w:line="360" w:lineRule="exact"/>
                    <w:jc w:val="center"/>
                    <w:rPr>
                      <w:szCs w:val="21"/>
                    </w:rPr>
                  </w:pPr>
                  <w:r>
                    <w:rPr>
                      <w:szCs w:val="21"/>
                    </w:rPr>
                    <w:t>JS500</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kern w:val="0"/>
                      <w:szCs w:val="21"/>
                      <w:lang w:val="zh-CN"/>
                    </w:rPr>
                    <w:t>切块成型机</w:t>
                  </w:r>
                </w:p>
              </w:tc>
              <w:tc>
                <w:tcPr>
                  <w:tcW w:w="2120" w:type="dxa"/>
                  <w:noWrap/>
                  <w:vAlign w:val="center"/>
                </w:tcPr>
                <w:p>
                  <w:pPr>
                    <w:spacing w:line="360" w:lineRule="exact"/>
                    <w:jc w:val="center"/>
                    <w:rPr>
                      <w:szCs w:val="21"/>
                    </w:rPr>
                  </w:pPr>
                  <w:r>
                    <w:rPr>
                      <w:szCs w:val="21"/>
                    </w:rPr>
                    <w:t>QT6-15</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kern w:val="0"/>
                      <w:szCs w:val="21"/>
                      <w:lang w:val="zh-CN"/>
                    </w:rPr>
                    <w:t>彩色面料机</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双板码垛机</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模具</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多个</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9" w:type="dxa"/>
                  <w:noWrap/>
                  <w:vAlign w:val="center"/>
                </w:tcPr>
                <w:p>
                  <w:pPr>
                    <w:spacing w:line="360" w:lineRule="exact"/>
                    <w:jc w:val="center"/>
                    <w:rPr>
                      <w:szCs w:val="21"/>
                    </w:rPr>
                  </w:pPr>
                  <w:r>
                    <w:rPr>
                      <w:szCs w:val="21"/>
                    </w:rPr>
                    <w:t>铲车</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2</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9" w:type="dxa"/>
                  <w:noWrap/>
                  <w:vAlign w:val="center"/>
                </w:tcPr>
                <w:p>
                  <w:pPr>
                    <w:spacing w:line="360" w:lineRule="exact"/>
                    <w:jc w:val="center"/>
                    <w:rPr>
                      <w:szCs w:val="21"/>
                    </w:rPr>
                  </w:pPr>
                  <w:r>
                    <w:rPr>
                      <w:szCs w:val="21"/>
                    </w:rPr>
                    <w:t>叉车</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3</w:t>
                  </w:r>
                </w:p>
              </w:tc>
              <w:tc>
                <w:tcPr>
                  <w:tcW w:w="2877" w:type="dxa"/>
                  <w:noWrap/>
                  <w:vAlign w:val="center"/>
                </w:tcPr>
                <w:p>
                  <w:pPr>
                    <w:spacing w:line="360" w:lineRule="exact"/>
                    <w:jc w:val="center"/>
                    <w:rPr>
                      <w:szCs w:val="21"/>
                    </w:rPr>
                  </w:pPr>
                  <w:r>
                    <w:rPr>
                      <w:szCs w:val="21"/>
                    </w:rPr>
                    <w:t>/</w:t>
                  </w:r>
                </w:p>
              </w:tc>
            </w:tr>
          </w:tbl>
          <w:p>
            <w:pPr>
              <w:spacing w:line="360" w:lineRule="exact"/>
              <w:ind w:firstLine="465"/>
              <w:rPr>
                <w:szCs w:val="21"/>
              </w:rPr>
            </w:pPr>
            <w:r>
              <w:rPr>
                <w:szCs w:val="21"/>
              </w:rPr>
              <w:t>注：经查阅《产业结构调整指导目录（20</w:t>
            </w:r>
            <w:r>
              <w:rPr>
                <w:rFonts w:hint="eastAsia"/>
                <w:szCs w:val="21"/>
                <w:lang w:val="en-US" w:eastAsia="zh-CN"/>
              </w:rPr>
              <w:t>19</w:t>
            </w:r>
            <w:r>
              <w:rPr>
                <w:szCs w:val="21"/>
              </w:rPr>
              <w:t>年本）》，项目所有设备均不属于限制类或淘汰类。</w:t>
            </w:r>
          </w:p>
          <w:p>
            <w:pPr>
              <w:spacing w:line="520" w:lineRule="exact"/>
              <w:ind w:firstLine="465"/>
              <w:rPr>
                <w:rFonts w:eastAsia="黑体"/>
                <w:sz w:val="24"/>
              </w:rPr>
            </w:pPr>
            <w:r>
              <w:rPr>
                <w:rFonts w:eastAsia="黑体"/>
                <w:sz w:val="24"/>
              </w:rPr>
              <w:t>4.6原辅材料运输与储存</w:t>
            </w:r>
          </w:p>
          <w:p>
            <w:pPr>
              <w:spacing w:line="520" w:lineRule="exact"/>
              <w:ind w:firstLine="482" w:firstLineChars="200"/>
              <w:rPr>
                <w:b/>
                <w:bCs w:val="0"/>
                <w:sz w:val="24"/>
                <w:u w:val="single"/>
              </w:rPr>
            </w:pPr>
            <w:r>
              <w:rPr>
                <w:b/>
                <w:bCs w:val="0"/>
                <w:sz w:val="24"/>
                <w:u w:val="single"/>
              </w:rPr>
              <w:t>根据生产规模，本项目运营后原料</w:t>
            </w:r>
            <w:r>
              <w:rPr>
                <w:rFonts w:hint="eastAsia"/>
                <w:b/>
                <w:bCs w:val="0"/>
                <w:sz w:val="24"/>
                <w:u w:val="single"/>
              </w:rPr>
              <w:t>总用量</w:t>
            </w:r>
            <w:r>
              <w:rPr>
                <w:b/>
                <w:bCs w:val="0"/>
                <w:sz w:val="24"/>
                <w:u w:val="single"/>
              </w:rPr>
              <w:t>为</w:t>
            </w:r>
            <w:r>
              <w:rPr>
                <w:rFonts w:hint="eastAsia"/>
                <w:b/>
                <w:bCs w:val="0"/>
                <w:sz w:val="24"/>
                <w:u w:val="single"/>
              </w:rPr>
              <w:t>50250</w:t>
            </w:r>
            <w:r>
              <w:rPr>
                <w:b/>
                <w:bCs w:val="0"/>
                <w:sz w:val="24"/>
                <w:u w:val="single"/>
              </w:rPr>
              <w:t>t/a，厂区设有</w:t>
            </w:r>
            <w:r>
              <w:rPr>
                <w:b/>
                <w:bCs w:val="0"/>
                <w:color w:val="auto"/>
                <w:sz w:val="24"/>
                <w:u w:val="single"/>
              </w:rPr>
              <w:t>水泥罐、</w:t>
            </w:r>
            <w:r>
              <w:rPr>
                <w:rFonts w:hint="eastAsia"/>
                <w:b/>
                <w:bCs w:val="0"/>
                <w:color w:val="auto"/>
                <w:sz w:val="24"/>
                <w:u w:val="single"/>
                <w:lang w:eastAsia="zh-CN"/>
              </w:rPr>
              <w:t>粉煤灰罐、</w:t>
            </w:r>
            <w:r>
              <w:rPr>
                <w:b/>
                <w:bCs w:val="0"/>
                <w:sz w:val="24"/>
                <w:u w:val="single"/>
              </w:rPr>
              <w:t>原料仓库，厂区不设置露天堆场，可有效减少堆场无组织</w:t>
            </w:r>
            <w:r>
              <w:rPr>
                <w:rFonts w:hint="eastAsia"/>
                <w:b/>
                <w:bCs w:val="0"/>
                <w:sz w:val="24"/>
                <w:u w:val="single"/>
                <w:lang w:eastAsia="zh-CN"/>
              </w:rPr>
              <w:t>颗粒物</w:t>
            </w:r>
            <w:r>
              <w:rPr>
                <w:b/>
                <w:bCs w:val="0"/>
                <w:sz w:val="24"/>
                <w:u w:val="single"/>
              </w:rPr>
              <w:t>对周围环境的影响。</w:t>
            </w:r>
          </w:p>
          <w:p>
            <w:pPr>
              <w:spacing w:line="520" w:lineRule="exact"/>
              <w:ind w:firstLine="482" w:firstLineChars="200"/>
              <w:rPr>
                <w:b/>
                <w:bCs w:val="0"/>
                <w:sz w:val="24"/>
                <w:u w:val="single"/>
              </w:rPr>
            </w:pPr>
            <w:r>
              <w:rPr>
                <w:b/>
                <w:bCs w:val="0"/>
                <w:sz w:val="24"/>
                <w:u w:val="single"/>
              </w:rPr>
              <w:t>本项目各原料的运输和储存方式如下：</w:t>
            </w:r>
          </w:p>
          <w:p>
            <w:pPr>
              <w:spacing w:line="520" w:lineRule="exact"/>
              <w:ind w:firstLine="482" w:firstLineChars="200"/>
              <w:rPr>
                <w:b/>
                <w:bCs w:val="0"/>
                <w:color w:val="auto"/>
                <w:sz w:val="24"/>
                <w:u w:val="single"/>
              </w:rPr>
            </w:pPr>
            <w:r>
              <w:rPr>
                <w:b/>
                <w:bCs w:val="0"/>
                <w:color w:val="auto"/>
                <w:sz w:val="24"/>
                <w:u w:val="single"/>
              </w:rPr>
              <w:t>石沫年用量为</w:t>
            </w:r>
            <w:r>
              <w:rPr>
                <w:rFonts w:hint="eastAsia"/>
                <w:b/>
                <w:bCs w:val="0"/>
                <w:color w:val="auto"/>
                <w:sz w:val="24"/>
                <w:u w:val="single"/>
              </w:rPr>
              <w:t>16500</w:t>
            </w:r>
            <w:r>
              <w:rPr>
                <w:b/>
                <w:bCs w:val="0"/>
                <w:color w:val="auto"/>
                <w:sz w:val="24"/>
                <w:u w:val="single"/>
              </w:rPr>
              <w:t>t，采用汽车运输，运输车辆加盖篷布，运回厂区后直接存放于砖原料仓库内的石沫储存区，储存区占地面积</w:t>
            </w:r>
            <w:r>
              <w:rPr>
                <w:rFonts w:hint="eastAsia"/>
                <w:b/>
                <w:bCs w:val="0"/>
                <w:color w:val="auto"/>
                <w:sz w:val="24"/>
                <w:u w:val="single"/>
                <w:lang w:val="en-US" w:eastAsia="zh-CN"/>
              </w:rPr>
              <w:t>4</w:t>
            </w:r>
            <w:r>
              <w:rPr>
                <w:rFonts w:hint="eastAsia"/>
                <w:b/>
                <w:bCs w:val="0"/>
                <w:color w:val="auto"/>
                <w:sz w:val="24"/>
                <w:u w:val="single"/>
              </w:rPr>
              <w:t>0</w:t>
            </w:r>
            <w:r>
              <w:rPr>
                <w:b/>
                <w:bCs w:val="0"/>
                <w:color w:val="auto"/>
                <w:sz w:val="24"/>
                <w:u w:val="single"/>
              </w:rPr>
              <w:t>0m</w:t>
            </w:r>
            <w:r>
              <w:rPr>
                <w:b/>
                <w:bCs w:val="0"/>
                <w:color w:val="auto"/>
                <w:sz w:val="24"/>
                <w:u w:val="single"/>
                <w:vertAlign w:val="superscript"/>
              </w:rPr>
              <w:t>2</w:t>
            </w:r>
            <w:r>
              <w:rPr>
                <w:b/>
                <w:bCs w:val="0"/>
                <w:color w:val="auto"/>
                <w:sz w:val="24"/>
                <w:u w:val="single"/>
              </w:rPr>
              <w:t>，全封闭料库（高度6米</w:t>
            </w:r>
            <w:r>
              <w:rPr>
                <w:rFonts w:hint="eastAsia"/>
                <w:b/>
                <w:bCs w:val="0"/>
                <w:color w:val="auto"/>
                <w:sz w:val="24"/>
                <w:u w:val="single"/>
                <w:lang w:eastAsia="zh-CN"/>
              </w:rPr>
              <w:t>，有效堆存高度</w:t>
            </w:r>
            <w:r>
              <w:rPr>
                <w:rFonts w:hint="eastAsia"/>
                <w:b/>
                <w:bCs w:val="0"/>
                <w:color w:val="auto"/>
                <w:sz w:val="24"/>
                <w:u w:val="single"/>
                <w:lang w:val="en-US" w:eastAsia="zh-CN"/>
              </w:rPr>
              <w:t>2米</w:t>
            </w:r>
            <w:r>
              <w:rPr>
                <w:b/>
                <w:bCs w:val="0"/>
                <w:color w:val="auto"/>
                <w:sz w:val="24"/>
                <w:u w:val="single"/>
              </w:rPr>
              <w:t>），有效容积为</w:t>
            </w:r>
            <w:r>
              <w:rPr>
                <w:rFonts w:hint="eastAsia"/>
                <w:b/>
                <w:bCs w:val="0"/>
                <w:color w:val="auto"/>
                <w:sz w:val="24"/>
                <w:u w:val="single"/>
                <w:lang w:val="en-US" w:eastAsia="zh-CN"/>
              </w:rPr>
              <w:t>8</w:t>
            </w:r>
            <w:r>
              <w:rPr>
                <w:b/>
                <w:bCs w:val="0"/>
                <w:color w:val="auto"/>
                <w:sz w:val="24"/>
                <w:u w:val="single"/>
              </w:rPr>
              <w:t>00m</w:t>
            </w:r>
            <w:r>
              <w:rPr>
                <w:b/>
                <w:bCs w:val="0"/>
                <w:color w:val="auto"/>
                <w:sz w:val="24"/>
                <w:u w:val="single"/>
                <w:vertAlign w:val="superscript"/>
              </w:rPr>
              <w:t>3</w:t>
            </w:r>
            <w:r>
              <w:rPr>
                <w:b/>
                <w:bCs w:val="0"/>
                <w:color w:val="auto"/>
                <w:sz w:val="24"/>
                <w:u w:val="single"/>
              </w:rPr>
              <w:t>，石沫密度以1.5g/cm</w:t>
            </w:r>
            <w:r>
              <w:rPr>
                <w:b/>
                <w:bCs w:val="0"/>
                <w:color w:val="auto"/>
                <w:sz w:val="24"/>
                <w:u w:val="single"/>
                <w:vertAlign w:val="superscript"/>
              </w:rPr>
              <w:t>3</w:t>
            </w:r>
            <w:r>
              <w:rPr>
                <w:b/>
                <w:bCs w:val="0"/>
                <w:color w:val="auto"/>
                <w:sz w:val="24"/>
                <w:u w:val="single"/>
              </w:rPr>
              <w:t>计，则石沫厂区最大储量为</w:t>
            </w:r>
            <w:r>
              <w:rPr>
                <w:rFonts w:hint="eastAsia"/>
                <w:b/>
                <w:bCs w:val="0"/>
                <w:color w:val="auto"/>
                <w:sz w:val="24"/>
                <w:u w:val="single"/>
                <w:lang w:val="en-US" w:eastAsia="zh-CN"/>
              </w:rPr>
              <w:t>12</w:t>
            </w:r>
            <w:r>
              <w:rPr>
                <w:rFonts w:hint="eastAsia"/>
                <w:b/>
                <w:bCs w:val="0"/>
                <w:color w:val="auto"/>
                <w:sz w:val="24"/>
                <w:u w:val="single"/>
              </w:rPr>
              <w:t>00</w:t>
            </w:r>
            <w:r>
              <w:rPr>
                <w:b/>
                <w:bCs w:val="0"/>
                <w:color w:val="auto"/>
                <w:sz w:val="24"/>
                <w:u w:val="single"/>
              </w:rPr>
              <w:t>t，能满足</w:t>
            </w:r>
            <w:r>
              <w:rPr>
                <w:rFonts w:hint="eastAsia"/>
                <w:b/>
                <w:bCs w:val="0"/>
                <w:color w:val="auto"/>
                <w:sz w:val="24"/>
                <w:u w:val="single"/>
                <w:lang w:val="en-US" w:eastAsia="zh-CN"/>
              </w:rPr>
              <w:t>21</w:t>
            </w:r>
            <w:r>
              <w:rPr>
                <w:b/>
                <w:bCs w:val="0"/>
                <w:color w:val="auto"/>
                <w:sz w:val="24"/>
                <w:u w:val="single"/>
              </w:rPr>
              <w:t>d的生产需求。</w:t>
            </w:r>
          </w:p>
          <w:p>
            <w:pPr>
              <w:spacing w:line="520" w:lineRule="exact"/>
              <w:ind w:firstLine="482" w:firstLineChars="200"/>
              <w:rPr>
                <w:b/>
                <w:bCs w:val="0"/>
                <w:color w:val="auto"/>
                <w:sz w:val="24"/>
                <w:u w:val="single"/>
              </w:rPr>
            </w:pPr>
            <w:r>
              <w:rPr>
                <w:b/>
                <w:bCs w:val="0"/>
                <w:color w:val="auto"/>
                <w:sz w:val="24"/>
                <w:u w:val="single"/>
              </w:rPr>
              <w:t>沙子年用量2</w:t>
            </w:r>
            <w:r>
              <w:rPr>
                <w:rFonts w:hint="eastAsia"/>
                <w:b/>
                <w:bCs w:val="0"/>
                <w:color w:val="auto"/>
                <w:sz w:val="24"/>
                <w:u w:val="single"/>
              </w:rPr>
              <w:t>00</w:t>
            </w:r>
            <w:r>
              <w:rPr>
                <w:b/>
                <w:bCs w:val="0"/>
                <w:color w:val="auto"/>
                <w:sz w:val="24"/>
                <w:u w:val="single"/>
              </w:rPr>
              <w:t>00t，采用汽车运输，运输车辆加盖篷布，运回厂区后直接存放于原料仓库内的沙子储存区，储存区占地面积</w:t>
            </w:r>
            <w:r>
              <w:rPr>
                <w:rFonts w:hint="eastAsia"/>
                <w:b/>
                <w:bCs w:val="0"/>
                <w:color w:val="auto"/>
                <w:sz w:val="24"/>
                <w:u w:val="single"/>
                <w:lang w:val="en-US" w:eastAsia="zh-CN"/>
              </w:rPr>
              <w:t>4</w:t>
            </w:r>
            <w:r>
              <w:rPr>
                <w:b/>
                <w:bCs w:val="0"/>
                <w:color w:val="auto"/>
                <w:sz w:val="24"/>
                <w:u w:val="single"/>
              </w:rPr>
              <w:t>00m</w:t>
            </w:r>
            <w:r>
              <w:rPr>
                <w:b/>
                <w:bCs w:val="0"/>
                <w:color w:val="auto"/>
                <w:sz w:val="24"/>
                <w:u w:val="single"/>
                <w:vertAlign w:val="superscript"/>
              </w:rPr>
              <w:t>2</w:t>
            </w:r>
            <w:r>
              <w:rPr>
                <w:b/>
                <w:bCs w:val="0"/>
                <w:color w:val="auto"/>
                <w:sz w:val="24"/>
                <w:u w:val="single"/>
              </w:rPr>
              <w:t>，全封闭料库（高度6米</w:t>
            </w:r>
            <w:r>
              <w:rPr>
                <w:rFonts w:hint="eastAsia"/>
                <w:b/>
                <w:bCs w:val="0"/>
                <w:color w:val="auto"/>
                <w:sz w:val="24"/>
                <w:u w:val="single"/>
                <w:lang w:eastAsia="zh-CN"/>
              </w:rPr>
              <w:t>，有效堆存高度</w:t>
            </w:r>
            <w:r>
              <w:rPr>
                <w:rFonts w:hint="eastAsia"/>
                <w:b/>
                <w:bCs w:val="0"/>
                <w:color w:val="auto"/>
                <w:sz w:val="24"/>
                <w:u w:val="single"/>
                <w:lang w:val="en-US" w:eastAsia="zh-CN"/>
              </w:rPr>
              <w:t>2米</w:t>
            </w:r>
            <w:r>
              <w:rPr>
                <w:b/>
                <w:bCs w:val="0"/>
                <w:color w:val="auto"/>
                <w:sz w:val="24"/>
                <w:u w:val="single"/>
              </w:rPr>
              <w:t>），有效容积为</w:t>
            </w:r>
            <w:r>
              <w:rPr>
                <w:rFonts w:hint="eastAsia"/>
                <w:b/>
                <w:bCs w:val="0"/>
                <w:color w:val="auto"/>
                <w:sz w:val="24"/>
                <w:u w:val="single"/>
                <w:lang w:val="en-US" w:eastAsia="zh-CN"/>
              </w:rPr>
              <w:t>8</w:t>
            </w:r>
            <w:r>
              <w:rPr>
                <w:b/>
                <w:bCs w:val="0"/>
                <w:color w:val="auto"/>
                <w:sz w:val="24"/>
                <w:u w:val="single"/>
              </w:rPr>
              <w:t>00m</w:t>
            </w:r>
            <w:r>
              <w:rPr>
                <w:b/>
                <w:bCs w:val="0"/>
                <w:color w:val="auto"/>
                <w:sz w:val="24"/>
                <w:u w:val="single"/>
                <w:vertAlign w:val="superscript"/>
              </w:rPr>
              <w:t>3</w:t>
            </w:r>
            <w:r>
              <w:rPr>
                <w:b/>
                <w:bCs w:val="0"/>
                <w:color w:val="auto"/>
                <w:sz w:val="24"/>
                <w:u w:val="single"/>
              </w:rPr>
              <w:t>，沙子密度以1.7g/cm</w:t>
            </w:r>
            <w:r>
              <w:rPr>
                <w:b/>
                <w:bCs w:val="0"/>
                <w:color w:val="auto"/>
                <w:sz w:val="24"/>
                <w:u w:val="single"/>
                <w:vertAlign w:val="superscript"/>
              </w:rPr>
              <w:t>3</w:t>
            </w:r>
            <w:r>
              <w:rPr>
                <w:b/>
                <w:bCs w:val="0"/>
                <w:color w:val="auto"/>
                <w:sz w:val="24"/>
                <w:u w:val="single"/>
              </w:rPr>
              <w:t>计，则沙子厂区最大储量为</w:t>
            </w:r>
            <w:r>
              <w:rPr>
                <w:rFonts w:hint="eastAsia"/>
                <w:b/>
                <w:bCs w:val="0"/>
                <w:color w:val="auto"/>
                <w:sz w:val="24"/>
                <w:u w:val="single"/>
                <w:lang w:val="en-US" w:eastAsia="zh-CN"/>
              </w:rPr>
              <w:t>1360</w:t>
            </w:r>
            <w:r>
              <w:rPr>
                <w:b/>
                <w:bCs w:val="0"/>
                <w:color w:val="auto"/>
                <w:sz w:val="24"/>
                <w:u w:val="single"/>
              </w:rPr>
              <w:t>t，能满足</w:t>
            </w:r>
            <w:r>
              <w:rPr>
                <w:rFonts w:hint="eastAsia"/>
                <w:b/>
                <w:bCs w:val="0"/>
                <w:color w:val="auto"/>
                <w:sz w:val="24"/>
                <w:u w:val="single"/>
                <w:lang w:val="en-US" w:eastAsia="zh-CN"/>
              </w:rPr>
              <w:t>20</w:t>
            </w:r>
            <w:r>
              <w:rPr>
                <w:b/>
                <w:bCs w:val="0"/>
                <w:color w:val="auto"/>
                <w:sz w:val="24"/>
                <w:u w:val="single"/>
              </w:rPr>
              <w:t>d的生产需求。</w:t>
            </w:r>
          </w:p>
          <w:p>
            <w:pPr>
              <w:spacing w:line="520" w:lineRule="exact"/>
              <w:ind w:firstLine="482" w:firstLineChars="200"/>
              <w:rPr>
                <w:b/>
                <w:bCs w:val="0"/>
                <w:color w:val="auto"/>
                <w:sz w:val="24"/>
                <w:u w:val="single"/>
              </w:rPr>
            </w:pPr>
            <w:r>
              <w:rPr>
                <w:b/>
                <w:bCs w:val="0"/>
                <w:color w:val="auto"/>
                <w:sz w:val="24"/>
                <w:u w:val="single"/>
              </w:rPr>
              <w:t>水泥年用量为</w:t>
            </w:r>
            <w:r>
              <w:rPr>
                <w:rFonts w:hint="eastAsia"/>
                <w:b/>
                <w:bCs w:val="0"/>
                <w:color w:val="auto"/>
                <w:sz w:val="24"/>
                <w:u w:val="single"/>
              </w:rPr>
              <w:t>75</w:t>
            </w:r>
            <w:r>
              <w:rPr>
                <w:b/>
                <w:bCs w:val="0"/>
                <w:color w:val="auto"/>
                <w:sz w:val="24"/>
                <w:u w:val="single"/>
              </w:rPr>
              <w:t>00t/a，采用罐车运输，运回厂区后通过气流泵送至水泥罐储存，水泥罐单罐储量为</w:t>
            </w:r>
            <w:r>
              <w:rPr>
                <w:rFonts w:hint="eastAsia"/>
                <w:b/>
                <w:bCs w:val="0"/>
                <w:color w:val="auto"/>
                <w:sz w:val="24"/>
                <w:u w:val="single"/>
                <w:lang w:val="en-US" w:eastAsia="zh-CN"/>
              </w:rPr>
              <w:t>10</w:t>
            </w:r>
            <w:r>
              <w:rPr>
                <w:b/>
                <w:bCs w:val="0"/>
                <w:color w:val="auto"/>
                <w:sz w:val="24"/>
                <w:u w:val="single"/>
              </w:rPr>
              <w:t>0t，厂区最大储量为</w:t>
            </w:r>
            <w:r>
              <w:rPr>
                <w:rFonts w:hint="eastAsia"/>
                <w:b/>
                <w:bCs w:val="0"/>
                <w:color w:val="auto"/>
                <w:sz w:val="24"/>
                <w:u w:val="single"/>
              </w:rPr>
              <w:t>1</w:t>
            </w:r>
            <w:r>
              <w:rPr>
                <w:b/>
                <w:bCs w:val="0"/>
                <w:color w:val="auto"/>
                <w:sz w:val="24"/>
                <w:u w:val="single"/>
              </w:rPr>
              <w:t>00t，能满足企业</w:t>
            </w:r>
            <w:r>
              <w:rPr>
                <w:rFonts w:hint="eastAsia"/>
                <w:b/>
                <w:bCs w:val="0"/>
                <w:color w:val="auto"/>
                <w:sz w:val="24"/>
                <w:u w:val="single"/>
              </w:rPr>
              <w:t>4</w:t>
            </w:r>
            <w:r>
              <w:rPr>
                <w:b/>
                <w:bCs w:val="0"/>
                <w:color w:val="auto"/>
                <w:sz w:val="24"/>
                <w:u w:val="single"/>
              </w:rPr>
              <w:t>d的生产需求。</w:t>
            </w:r>
          </w:p>
          <w:p>
            <w:pPr>
              <w:spacing w:line="520" w:lineRule="exact"/>
              <w:ind w:firstLine="482" w:firstLineChars="200"/>
              <w:rPr>
                <w:b/>
                <w:bCs w:val="0"/>
                <w:color w:val="auto"/>
                <w:sz w:val="24"/>
                <w:u w:val="single"/>
              </w:rPr>
            </w:pPr>
            <w:r>
              <w:rPr>
                <w:rFonts w:hint="eastAsia" w:ascii="Times New Roman" w:hAnsi="Times New Roman" w:eastAsia="宋体" w:cs="Times New Roman"/>
                <w:b/>
                <w:bCs w:val="0"/>
                <w:color w:val="auto"/>
                <w:sz w:val="24"/>
                <w:u w:val="single"/>
                <w:lang w:eastAsia="zh-CN"/>
              </w:rPr>
              <w:t>粉煤灰</w:t>
            </w:r>
            <w:r>
              <w:rPr>
                <w:rFonts w:ascii="Times New Roman" w:hAnsi="Times New Roman" w:eastAsia="宋体" w:cs="Times New Roman"/>
                <w:b/>
                <w:bCs w:val="0"/>
                <w:color w:val="auto"/>
                <w:sz w:val="24"/>
                <w:u w:val="single"/>
              </w:rPr>
              <w:t>年用量为</w:t>
            </w:r>
            <w:r>
              <w:rPr>
                <w:rFonts w:hint="eastAsia" w:ascii="Times New Roman" w:hAnsi="Times New Roman" w:eastAsia="宋体" w:cs="Times New Roman"/>
                <w:b/>
                <w:bCs w:val="0"/>
                <w:color w:val="auto"/>
                <w:sz w:val="24"/>
                <w:u w:val="single"/>
              </w:rPr>
              <w:t>6000</w:t>
            </w:r>
            <w:r>
              <w:rPr>
                <w:rFonts w:ascii="Times New Roman" w:hAnsi="Times New Roman" w:eastAsia="宋体" w:cs="Times New Roman"/>
                <w:b/>
                <w:bCs w:val="0"/>
                <w:color w:val="auto"/>
                <w:sz w:val="24"/>
                <w:u w:val="single"/>
              </w:rPr>
              <w:t>t，</w:t>
            </w:r>
            <w:r>
              <w:rPr>
                <w:b/>
                <w:bCs w:val="0"/>
                <w:color w:val="auto"/>
                <w:sz w:val="24"/>
                <w:u w:val="single"/>
              </w:rPr>
              <w:t>采用罐车运输，运回厂区后通过气流泵送至</w:t>
            </w:r>
            <w:r>
              <w:rPr>
                <w:rFonts w:hint="eastAsia"/>
                <w:b/>
                <w:bCs w:val="0"/>
                <w:color w:val="auto"/>
                <w:sz w:val="24"/>
                <w:u w:val="single"/>
                <w:lang w:eastAsia="zh-CN"/>
              </w:rPr>
              <w:t>粉煤灰</w:t>
            </w:r>
            <w:r>
              <w:rPr>
                <w:b/>
                <w:bCs w:val="0"/>
                <w:color w:val="auto"/>
                <w:sz w:val="24"/>
                <w:u w:val="single"/>
              </w:rPr>
              <w:t>罐储存，单罐储量为</w:t>
            </w:r>
            <w:r>
              <w:rPr>
                <w:rFonts w:hint="eastAsia"/>
                <w:b/>
                <w:bCs w:val="0"/>
                <w:color w:val="auto"/>
                <w:sz w:val="24"/>
                <w:u w:val="single"/>
                <w:lang w:val="en-US" w:eastAsia="zh-CN"/>
              </w:rPr>
              <w:t>10</w:t>
            </w:r>
            <w:r>
              <w:rPr>
                <w:b/>
                <w:bCs w:val="0"/>
                <w:color w:val="auto"/>
                <w:sz w:val="24"/>
                <w:u w:val="single"/>
              </w:rPr>
              <w:t>0t，厂区最大储量为</w:t>
            </w:r>
            <w:r>
              <w:rPr>
                <w:rFonts w:hint="eastAsia"/>
                <w:b/>
                <w:bCs w:val="0"/>
                <w:color w:val="auto"/>
                <w:sz w:val="24"/>
                <w:u w:val="single"/>
              </w:rPr>
              <w:t>1</w:t>
            </w:r>
            <w:r>
              <w:rPr>
                <w:b/>
                <w:bCs w:val="0"/>
                <w:color w:val="auto"/>
                <w:sz w:val="24"/>
                <w:u w:val="single"/>
              </w:rPr>
              <w:t>00t，能满足企业</w:t>
            </w:r>
            <w:r>
              <w:rPr>
                <w:rFonts w:hint="eastAsia"/>
                <w:b/>
                <w:bCs w:val="0"/>
                <w:color w:val="auto"/>
                <w:sz w:val="24"/>
                <w:u w:val="single"/>
                <w:lang w:val="en-US" w:eastAsia="zh-CN"/>
              </w:rPr>
              <w:t>5</w:t>
            </w:r>
            <w:r>
              <w:rPr>
                <w:b/>
                <w:bCs w:val="0"/>
                <w:color w:val="auto"/>
                <w:sz w:val="24"/>
                <w:u w:val="single"/>
              </w:rPr>
              <w:t>d的生产需求。</w:t>
            </w:r>
          </w:p>
          <w:p>
            <w:pPr>
              <w:spacing w:line="520" w:lineRule="exact"/>
              <w:ind w:firstLine="482" w:firstLineChars="200"/>
              <w:rPr>
                <w:b/>
                <w:bCs w:val="0"/>
                <w:sz w:val="24"/>
                <w:u w:val="single"/>
              </w:rPr>
            </w:pPr>
            <w:r>
              <w:rPr>
                <w:b/>
                <w:bCs w:val="0"/>
                <w:sz w:val="24"/>
                <w:u w:val="single"/>
              </w:rPr>
              <w:t>本项目</w:t>
            </w:r>
            <w:r>
              <w:rPr>
                <w:rFonts w:hint="eastAsia"/>
                <w:b/>
                <w:bCs w:val="0"/>
                <w:sz w:val="24"/>
                <w:u w:val="single"/>
                <w:lang w:eastAsia="zh-CN"/>
              </w:rPr>
              <w:t>产品</w:t>
            </w:r>
            <w:r>
              <w:rPr>
                <w:b/>
                <w:bCs w:val="0"/>
                <w:sz w:val="24"/>
                <w:u w:val="single"/>
              </w:rPr>
              <w:t>的</w:t>
            </w:r>
            <w:r>
              <w:rPr>
                <w:rFonts w:hint="eastAsia"/>
                <w:b/>
                <w:bCs w:val="0"/>
                <w:sz w:val="24"/>
                <w:u w:val="single"/>
                <w:lang w:eastAsia="zh-CN"/>
              </w:rPr>
              <w:t>暂</w:t>
            </w:r>
            <w:r>
              <w:rPr>
                <w:b/>
                <w:bCs w:val="0"/>
                <w:sz w:val="24"/>
                <w:u w:val="single"/>
              </w:rPr>
              <w:t>存方式如下：</w:t>
            </w:r>
          </w:p>
          <w:p>
            <w:pPr>
              <w:spacing w:line="520" w:lineRule="exact"/>
              <w:ind w:firstLine="482" w:firstLineChars="200"/>
              <w:rPr>
                <w:rFonts w:hint="eastAsia" w:eastAsia="宋体"/>
                <w:b/>
                <w:bCs w:val="0"/>
                <w:color w:val="FF0000"/>
                <w:sz w:val="24"/>
                <w:u w:val="single"/>
                <w:lang w:val="en-US" w:eastAsia="zh-CN"/>
              </w:rPr>
            </w:pPr>
            <w:r>
              <w:rPr>
                <w:rFonts w:hint="eastAsia"/>
                <w:b/>
                <w:bCs w:val="0"/>
                <w:sz w:val="24"/>
                <w:u w:val="single"/>
                <w:lang w:eastAsia="zh-CN"/>
              </w:rPr>
              <w:t>项目年产标砖</w:t>
            </w:r>
            <w:r>
              <w:rPr>
                <w:rFonts w:hint="eastAsia"/>
                <w:b/>
                <w:bCs w:val="0"/>
                <w:sz w:val="24"/>
                <w:u w:val="single"/>
                <w:lang w:val="en-US" w:eastAsia="zh-CN"/>
              </w:rPr>
              <w:t>2000万块，年工作300d，则每天</w:t>
            </w:r>
            <w:r>
              <w:rPr>
                <w:rFonts w:hint="eastAsia"/>
                <w:b/>
                <w:bCs w:val="0"/>
                <w:sz w:val="24"/>
                <w:u w:val="single"/>
                <w:lang w:eastAsia="zh-CN"/>
              </w:rPr>
              <w:t>产标砖约</w:t>
            </w:r>
            <w:r>
              <w:rPr>
                <w:rFonts w:hint="eastAsia"/>
                <w:b/>
                <w:bCs w:val="0"/>
                <w:sz w:val="24"/>
                <w:u w:val="single"/>
                <w:lang w:val="en-US" w:eastAsia="zh-CN"/>
              </w:rPr>
              <w:t>6.67万块/d。根据企业提资料，项目产品暂存区面积约1500</w:t>
            </w:r>
            <w:r>
              <w:rPr>
                <w:b/>
                <w:bCs w:val="0"/>
                <w:color w:val="auto"/>
                <w:sz w:val="24"/>
                <w:u w:val="single"/>
              </w:rPr>
              <w:t>m</w:t>
            </w:r>
            <w:r>
              <w:rPr>
                <w:rFonts w:hint="eastAsia"/>
                <w:b/>
                <w:bCs w:val="0"/>
                <w:color w:val="auto"/>
                <w:sz w:val="24"/>
                <w:u w:val="single"/>
                <w:vertAlign w:val="superscript"/>
                <w:lang w:val="en-US" w:eastAsia="zh-CN"/>
              </w:rPr>
              <w:t>2</w:t>
            </w:r>
            <w:r>
              <w:rPr>
                <w:b/>
                <w:bCs w:val="0"/>
                <w:color w:val="auto"/>
                <w:sz w:val="24"/>
                <w:u w:val="single"/>
              </w:rPr>
              <w:t>，</w:t>
            </w:r>
            <w:r>
              <w:rPr>
                <w:rFonts w:hint="eastAsia"/>
                <w:b/>
                <w:bCs w:val="0"/>
                <w:color w:val="auto"/>
                <w:sz w:val="24"/>
                <w:u w:val="single"/>
                <w:lang w:eastAsia="zh-CN"/>
              </w:rPr>
              <w:t>可暂存标砖</w:t>
            </w:r>
            <w:r>
              <w:rPr>
                <w:rFonts w:hint="eastAsia"/>
                <w:b/>
                <w:bCs w:val="0"/>
                <w:color w:val="auto"/>
                <w:sz w:val="24"/>
                <w:u w:val="single"/>
                <w:lang w:val="en-US" w:eastAsia="zh-CN"/>
              </w:rPr>
              <w:t>75万块，故项目成品暂存区可满足项目使用。</w:t>
            </w:r>
          </w:p>
          <w:p>
            <w:pPr>
              <w:spacing w:line="520" w:lineRule="exact"/>
              <w:ind w:firstLine="465"/>
              <w:rPr>
                <w:rFonts w:eastAsia="黑体"/>
                <w:sz w:val="24"/>
              </w:rPr>
            </w:pPr>
            <w:r>
              <w:rPr>
                <w:rFonts w:eastAsia="黑体"/>
                <w:sz w:val="24"/>
              </w:rPr>
              <w:t>4.7公用工程</w:t>
            </w:r>
          </w:p>
          <w:p>
            <w:pPr>
              <w:spacing w:line="520" w:lineRule="exact"/>
              <w:ind w:firstLine="465"/>
              <w:rPr>
                <w:sz w:val="24"/>
              </w:rPr>
            </w:pPr>
            <w:r>
              <w:rPr>
                <w:sz w:val="24"/>
              </w:rPr>
              <w:t>（1）给水</w:t>
            </w:r>
          </w:p>
          <w:p>
            <w:pPr>
              <w:pStyle w:val="19"/>
              <w:spacing w:line="500" w:lineRule="exact"/>
              <w:ind w:firstLine="480" w:firstLineChars="200"/>
              <w:rPr>
                <w:rFonts w:ascii="Times New Roman" w:hAnsi="Times New Roman"/>
                <w:kern w:val="0"/>
                <w:sz w:val="24"/>
                <w:lang w:val="en-US" w:eastAsia="zh-CN"/>
              </w:rPr>
            </w:pPr>
            <w:r>
              <w:rPr>
                <w:rFonts w:ascii="Times New Roman" w:hAnsi="Times New Roman"/>
                <w:kern w:val="0"/>
                <w:sz w:val="24"/>
                <w:lang w:val="en-US" w:eastAsia="zh-CN"/>
              </w:rPr>
              <w:t>项目用水为生产及生活用水，</w:t>
            </w:r>
            <w:r>
              <w:rPr>
                <w:rFonts w:ascii="Times New Roman" w:hAnsi="Times New Roman"/>
                <w:sz w:val="24"/>
                <w:lang w:val="en-US" w:eastAsia="zh-CN"/>
              </w:rPr>
              <w:t>由厂区自备水井提供，</w:t>
            </w:r>
            <w:r>
              <w:rPr>
                <w:rFonts w:ascii="Times New Roman" w:hAnsi="Times New Roman"/>
                <w:kern w:val="0"/>
                <w:sz w:val="24"/>
                <w:lang w:val="en-US" w:eastAsia="zh-CN"/>
              </w:rPr>
              <w:t>供水能力满足生活用水需求。</w:t>
            </w:r>
          </w:p>
          <w:p>
            <w:pPr>
              <w:spacing w:line="520" w:lineRule="exact"/>
              <w:ind w:firstLine="465"/>
              <w:rPr>
                <w:sz w:val="24"/>
              </w:rPr>
            </w:pPr>
            <w:r>
              <w:rPr>
                <w:sz w:val="24"/>
              </w:rPr>
              <w:t>（2）排水</w:t>
            </w:r>
          </w:p>
          <w:p>
            <w:pPr>
              <w:spacing w:line="520" w:lineRule="exact"/>
              <w:ind w:firstLine="465"/>
              <w:rPr>
                <w:sz w:val="24"/>
              </w:rPr>
            </w:pPr>
            <w:r>
              <w:rPr>
                <w:kern w:val="0"/>
                <w:sz w:val="24"/>
              </w:rPr>
              <w:t>项目生产废水综合利用；</w:t>
            </w:r>
            <w:r>
              <w:rPr>
                <w:sz w:val="24"/>
              </w:rPr>
              <w:t>职工生活污水排入化粪池，定期清掏</w:t>
            </w:r>
            <w:r>
              <w:rPr>
                <w:rFonts w:hint="eastAsia"/>
                <w:sz w:val="24"/>
                <w:lang w:eastAsia="zh-CN"/>
              </w:rPr>
              <w:t>，</w:t>
            </w:r>
            <w:r>
              <w:rPr>
                <w:sz w:val="24"/>
              </w:rPr>
              <w:t>由附近农民运走</w:t>
            </w:r>
            <w:r>
              <w:rPr>
                <w:rFonts w:hint="eastAsia"/>
                <w:sz w:val="24"/>
                <w:lang w:eastAsia="zh-CN"/>
              </w:rPr>
              <w:t>用于周边农田施肥，</w:t>
            </w:r>
            <w:r>
              <w:rPr>
                <w:sz w:val="24"/>
              </w:rPr>
              <w:t>资源化利用，不排入地表水体。</w:t>
            </w:r>
          </w:p>
          <w:p>
            <w:pPr>
              <w:spacing w:line="520" w:lineRule="exact"/>
              <w:ind w:firstLine="465"/>
              <w:rPr>
                <w:sz w:val="24"/>
              </w:rPr>
            </w:pPr>
            <w:r>
              <w:rPr>
                <w:sz w:val="24"/>
              </w:rPr>
              <w:t>（3）供电</w:t>
            </w:r>
          </w:p>
          <w:p>
            <w:pPr>
              <w:spacing w:line="520" w:lineRule="exact"/>
              <w:ind w:firstLine="465"/>
              <w:rPr>
                <w:sz w:val="24"/>
              </w:rPr>
            </w:pPr>
            <w:r>
              <w:rPr>
                <w:sz w:val="24"/>
              </w:rPr>
              <w:t>厂区供电由当地电网提供，可满足项目生产需求，年用电量约3万</w:t>
            </w:r>
            <w:r>
              <w:rPr>
                <w:bCs/>
                <w:szCs w:val="21"/>
              </w:rPr>
              <w:t>kW·h</w:t>
            </w:r>
            <w:r>
              <w:rPr>
                <w:sz w:val="24"/>
              </w:rPr>
              <w:t>。</w:t>
            </w:r>
          </w:p>
          <w:p>
            <w:pPr>
              <w:spacing w:line="520" w:lineRule="exact"/>
              <w:ind w:firstLine="465"/>
              <w:rPr>
                <w:rFonts w:eastAsia="黑体"/>
                <w:sz w:val="24"/>
              </w:rPr>
            </w:pPr>
            <w:r>
              <w:rPr>
                <w:rFonts w:eastAsia="黑体"/>
                <w:sz w:val="24"/>
              </w:rPr>
              <w:t>4.8劳动定员</w:t>
            </w:r>
          </w:p>
          <w:p>
            <w:pPr>
              <w:spacing w:line="520" w:lineRule="exact"/>
              <w:ind w:firstLine="465"/>
              <w:rPr>
                <w:sz w:val="24"/>
              </w:rPr>
            </w:pPr>
            <w:r>
              <w:rPr>
                <w:sz w:val="24"/>
              </w:rPr>
              <w:t>本项目劳动定员</w:t>
            </w:r>
            <w:r>
              <w:rPr>
                <w:rFonts w:hint="eastAsia"/>
                <w:sz w:val="24"/>
              </w:rPr>
              <w:t>7</w:t>
            </w:r>
            <w:r>
              <w:rPr>
                <w:sz w:val="24"/>
              </w:rPr>
              <w:t>人</w:t>
            </w:r>
            <w:r>
              <w:rPr>
                <w:color w:val="auto"/>
                <w:sz w:val="24"/>
              </w:rPr>
              <w:t>，</w:t>
            </w:r>
            <w:r>
              <w:rPr>
                <w:rFonts w:hint="eastAsia"/>
                <w:color w:val="auto"/>
                <w:sz w:val="24"/>
                <w:lang w:eastAsia="zh-CN"/>
              </w:rPr>
              <w:t>厂区设食堂</w:t>
            </w:r>
            <w:r>
              <w:rPr>
                <w:rFonts w:hint="eastAsia"/>
                <w:sz w:val="24"/>
                <w:lang w:eastAsia="zh-CN"/>
              </w:rPr>
              <w:t>，</w:t>
            </w:r>
            <w:r>
              <w:rPr>
                <w:sz w:val="24"/>
              </w:rPr>
              <w:t>中午在厂内就餐，平均每天2人在场内住宿。项目采用8小时工作制，年工作时间为300天，有效劳动时间2400小时。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9206" w:type="dxa"/>
            <w:gridSpan w:val="11"/>
            <w:tcBorders>
              <w:top w:val="single" w:color="auto" w:sz="6" w:space="0"/>
              <w:bottom w:val="single" w:color="auto" w:sz="12" w:space="0"/>
            </w:tcBorders>
            <w:noWrap/>
          </w:tcPr>
          <w:p>
            <w:pPr>
              <w:spacing w:line="520" w:lineRule="exact"/>
              <w:rPr>
                <w:b/>
                <w:sz w:val="24"/>
              </w:rPr>
            </w:pPr>
            <w:r>
              <w:rPr>
                <w:b/>
                <w:sz w:val="24"/>
              </w:rPr>
              <w:t>与本项目有关的原有污染情况及主要环境问题：</w:t>
            </w:r>
          </w:p>
          <w:p>
            <w:pPr>
              <w:spacing w:line="520" w:lineRule="exact"/>
              <w:ind w:firstLine="480" w:firstLineChars="200"/>
              <w:rPr>
                <w:sz w:val="24"/>
              </w:rPr>
            </w:pPr>
            <w:r>
              <w:rPr>
                <w:sz w:val="24"/>
              </w:rPr>
              <w:t>本项目为新建项目，</w:t>
            </w:r>
            <w:r>
              <w:rPr>
                <w:rFonts w:hint="eastAsia"/>
                <w:sz w:val="24"/>
                <w:lang w:eastAsia="zh-CN"/>
              </w:rPr>
              <w:t>利用原有闲置生产车间进行建设生产，</w:t>
            </w:r>
            <w:r>
              <w:rPr>
                <w:sz w:val="24"/>
              </w:rPr>
              <w:t>现场勘查时，</w:t>
            </w:r>
            <w:r>
              <w:rPr>
                <w:rFonts w:hint="eastAsia"/>
                <w:sz w:val="24"/>
                <w:lang w:eastAsia="zh-CN"/>
              </w:rPr>
              <w:t>车间内堆放部分木板及家具</w:t>
            </w:r>
            <w:r>
              <w:rPr>
                <w:sz w:val="24"/>
              </w:rPr>
              <w:t>，</w:t>
            </w:r>
            <w:r>
              <w:rPr>
                <w:rFonts w:hint="eastAsia"/>
                <w:sz w:val="24"/>
                <w:lang w:eastAsia="zh-CN"/>
              </w:rPr>
              <w:t>木板及家具经收集后可外售，车间经清理后</w:t>
            </w:r>
            <w:r>
              <w:rPr>
                <w:sz w:val="24"/>
              </w:rPr>
              <w:t>不存在</w:t>
            </w:r>
            <w:r>
              <w:rPr>
                <w:rFonts w:hint="eastAsia"/>
                <w:sz w:val="24"/>
                <w:lang w:eastAsia="zh-CN"/>
              </w:rPr>
              <w:t>其它</w:t>
            </w:r>
            <w:r>
              <w:rPr>
                <w:sz w:val="24"/>
              </w:rPr>
              <w:t>原有污染情况及主要环境问题。</w:t>
            </w:r>
          </w:p>
          <w:p>
            <w:pPr>
              <w:spacing w:line="520" w:lineRule="exact"/>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spacing w:line="520" w:lineRule="exact"/>
              <w:rPr>
                <w:sz w:val="24"/>
              </w:rPr>
            </w:pPr>
          </w:p>
        </w:tc>
      </w:tr>
    </w:tbl>
    <w:p>
      <w:pPr>
        <w:spacing w:line="360" w:lineRule="auto"/>
        <w:rPr>
          <w:sz w:val="28"/>
        </w:rPr>
        <w:sectPr>
          <w:footerReference r:id="rId5" w:type="default"/>
          <w:pgSz w:w="11906" w:h="16838"/>
          <w:pgMar w:top="1701" w:right="1588" w:bottom="1985" w:left="1588" w:header="851" w:footer="992" w:gutter="0"/>
          <w:pgNumType w:start="1"/>
          <w:cols w:space="720" w:num="1"/>
          <w:docGrid w:type="lines" w:linePitch="312" w:charSpace="0"/>
        </w:sectPr>
      </w:pPr>
    </w:p>
    <w:p>
      <w:pPr>
        <w:spacing w:line="520" w:lineRule="exact"/>
        <w:rPr>
          <w:rFonts w:eastAsia="黑体"/>
          <w:b/>
          <w:sz w:val="28"/>
          <w:szCs w:val="28"/>
        </w:rPr>
      </w:pPr>
      <w:r>
        <w:rPr>
          <w:rFonts w:eastAsia="黑体"/>
          <w:b/>
          <w:sz w:val="28"/>
          <w:szCs w:val="28"/>
        </w:rPr>
        <w:t>建设项目所在地自然环境及相关规划简况</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46" w:type="dxa"/>
            <w:tcBorders>
              <w:bottom w:val="single" w:color="auto" w:sz="6" w:space="0"/>
            </w:tcBorders>
            <w:noWrap/>
          </w:tcPr>
          <w:p>
            <w:pPr>
              <w:spacing w:line="520" w:lineRule="exact"/>
              <w:rPr>
                <w:b/>
                <w:sz w:val="24"/>
              </w:rPr>
            </w:pPr>
            <w:r>
              <w:rPr>
                <w:b/>
                <w:sz w:val="24"/>
              </w:rPr>
              <w:t>自然环境简况(地形、地貌、地质、气候、气象、水文、植被、生物多样性等)：</w:t>
            </w:r>
          </w:p>
          <w:p>
            <w:pPr>
              <w:spacing w:line="520" w:lineRule="exact"/>
              <w:ind w:firstLine="480" w:firstLineChars="200"/>
              <w:rPr>
                <w:rFonts w:eastAsia="黑体"/>
                <w:sz w:val="24"/>
              </w:rPr>
            </w:pPr>
            <w:r>
              <w:rPr>
                <w:rFonts w:eastAsia="黑体"/>
                <w:sz w:val="24"/>
              </w:rPr>
              <w:t>一、地理位置</w:t>
            </w:r>
          </w:p>
          <w:p>
            <w:pPr>
              <w:pStyle w:val="59"/>
              <w:spacing w:line="520" w:lineRule="exact"/>
              <w:ind w:firstLine="480" w:firstLineChars="200"/>
              <w:rPr>
                <w:sz w:val="24"/>
                <w:szCs w:val="24"/>
              </w:rPr>
            </w:pPr>
            <w:r>
              <w:rPr>
                <w:sz w:val="24"/>
                <w:szCs w:val="24"/>
              </w:rPr>
              <w:t>鲁山县位于河南省中西部，伏牛山东麓，地处东经112°14′～113°14′，北纬33°34′～34°00′之间，东邻平顶山市郊、鲁山县，南靠方城、南召，西接嵩县、鲁山，北连汝州、宝丰。全县东西长92公里，南北宽44公里，辖区总面积2405.76平方公里。鲁山县是中原煤都平顶山市辖县，县城距平顶山市区35公里，境内有2条国道（G311、G207）、3条省道（242、231、239），郑尧高速公路东西越过，焦枝铁路横县域中部。二广高速公路在鲁山与郑尧高速公路交汇。</w:t>
            </w:r>
          </w:p>
          <w:p>
            <w:pPr>
              <w:pStyle w:val="59"/>
              <w:spacing w:line="520" w:lineRule="exact"/>
              <w:ind w:firstLine="480" w:firstLineChars="200"/>
              <w:rPr>
                <w:sz w:val="24"/>
                <w:szCs w:val="24"/>
              </w:rPr>
            </w:pPr>
            <w:r>
              <w:rPr>
                <w:sz w:val="24"/>
                <w:szCs w:val="24"/>
              </w:rPr>
              <w:t>本项目厂址位于</w:t>
            </w:r>
            <w:r>
              <w:rPr>
                <w:rFonts w:hint="eastAsia"/>
                <w:sz w:val="24"/>
                <w:szCs w:val="24"/>
              </w:rPr>
              <w:t>平顶山市鲁山县张良镇工业园区西南角</w:t>
            </w:r>
            <w:r>
              <w:rPr>
                <w:sz w:val="24"/>
                <w:szCs w:val="24"/>
              </w:rPr>
              <w:t>，项目地理位置示意图见附图1。周围环境示意图见附图2。</w:t>
            </w:r>
          </w:p>
          <w:p>
            <w:pPr>
              <w:spacing w:line="520" w:lineRule="exact"/>
              <w:ind w:firstLine="480" w:firstLineChars="200"/>
              <w:rPr>
                <w:rFonts w:eastAsia="黑体"/>
                <w:sz w:val="24"/>
              </w:rPr>
            </w:pPr>
            <w:r>
              <w:rPr>
                <w:rFonts w:eastAsia="黑体"/>
                <w:sz w:val="24"/>
              </w:rPr>
              <w:t>二、地形、地貌</w:t>
            </w:r>
          </w:p>
          <w:p>
            <w:pPr>
              <w:pStyle w:val="46"/>
              <w:spacing w:line="520" w:lineRule="exact"/>
              <w:ind w:firstLine="480"/>
              <w:rPr>
                <w:sz w:val="24"/>
                <w:szCs w:val="24"/>
              </w:rPr>
            </w:pPr>
            <w:r>
              <w:rPr>
                <w:sz w:val="24"/>
                <w:szCs w:val="24"/>
              </w:rPr>
              <w:t>鲁山县地处秦岭昆仑纬向地质构造带东段，地层分区属秦岭地层区豫西小区。由于整个地貌受地质构造和地表岩性的控制，在应力作用过程中，形成北、西、南三面环山，东部为沙河冲击平原的地貌形态，地势西高东低，为一簸箕形盆地，平面图形如长形叶片。西部中山区，一般海拔400~800m尧山主峰2153.1m，该区山势陡峭，岩石裸露，群峰林立，面积约1070.33km</w:t>
            </w:r>
            <w:r>
              <w:rPr>
                <w:sz w:val="24"/>
                <w:szCs w:val="24"/>
                <w:vertAlign w:val="superscript"/>
              </w:rPr>
              <w:t>2</w:t>
            </w:r>
            <w:r>
              <w:rPr>
                <w:sz w:val="24"/>
                <w:szCs w:val="24"/>
              </w:rPr>
              <w:t>，占总面积的44%；中部低山区，海拔一般在250~4003，沟壑纵横，山川相间，土薄石厚，耕地多分布在山谷河川两岸，面积约533.65km</w:t>
            </w:r>
            <w:r>
              <w:rPr>
                <w:sz w:val="24"/>
                <w:szCs w:val="24"/>
                <w:vertAlign w:val="superscript"/>
              </w:rPr>
              <w:t>2</w:t>
            </w:r>
            <w:r>
              <w:rPr>
                <w:sz w:val="24"/>
                <w:szCs w:val="24"/>
              </w:rPr>
              <w:t>，占总面积的21.9%；东部南北两侧丘陵区，海拔一般在90~150m之间，地势平坦，土层深厚，土质肥沃，面积约828.34km</w:t>
            </w:r>
            <w:r>
              <w:rPr>
                <w:sz w:val="24"/>
                <w:szCs w:val="24"/>
                <w:vertAlign w:val="superscript"/>
              </w:rPr>
              <w:t>2</w:t>
            </w:r>
            <w:r>
              <w:rPr>
                <w:sz w:val="24"/>
                <w:szCs w:val="24"/>
              </w:rPr>
              <w:t>，占总面积的34.1%。</w:t>
            </w:r>
          </w:p>
          <w:p>
            <w:pPr>
              <w:spacing w:line="520" w:lineRule="exact"/>
              <w:ind w:firstLine="480" w:firstLineChars="200"/>
              <w:rPr>
                <w:rFonts w:eastAsia="黑体"/>
                <w:sz w:val="24"/>
              </w:rPr>
            </w:pPr>
            <w:r>
              <w:rPr>
                <w:rFonts w:eastAsia="黑体"/>
                <w:sz w:val="24"/>
              </w:rPr>
              <w:t>三、地质</w:t>
            </w:r>
          </w:p>
          <w:p>
            <w:pPr>
              <w:pStyle w:val="46"/>
              <w:spacing w:line="520" w:lineRule="exact"/>
              <w:ind w:firstLine="480"/>
              <w:rPr>
                <w:sz w:val="24"/>
                <w:szCs w:val="24"/>
              </w:rPr>
            </w:pPr>
            <w:r>
              <w:rPr>
                <w:sz w:val="24"/>
                <w:szCs w:val="24"/>
              </w:rPr>
              <w:t>鲁山县的地质，处于秦岭--昆化纬向构造带东段，属秦岭地区豫西小区境内岩层有太古界太华群；元古界熊耳群、鲁山群、振旦系；古生界寒武系，石炭系、二叠系；中生界白垩系及新生界沉积层1.8亿年至0.7亿年的燕山运动，奠定了地貌格架。南部花岗岩的侵入，形成了石人山区的高山地形。车村---下汤地壳深大断裂，形成沙河。北部片麻岩经亿万年风化侵蚀，形成山间谷地，除在双头山一带仍有小规模火山活动外，其它各地均为外营力占主导。即风化剥蚀---搬运---堆积。东部凹陷逐渐填平，形成了广阔的冲积平原。</w:t>
            </w:r>
          </w:p>
          <w:p>
            <w:pPr>
              <w:pStyle w:val="46"/>
              <w:spacing w:line="520" w:lineRule="exact"/>
              <w:ind w:firstLine="480"/>
              <w:rPr>
                <w:sz w:val="24"/>
                <w:szCs w:val="24"/>
              </w:rPr>
            </w:pPr>
            <w:r>
              <w:rPr>
                <w:sz w:val="24"/>
                <w:szCs w:val="24"/>
              </w:rPr>
              <w:t>项目场区内无活动断层断裂，地基稳定性好。</w:t>
            </w:r>
          </w:p>
          <w:p>
            <w:pPr>
              <w:spacing w:line="520" w:lineRule="exact"/>
              <w:ind w:firstLine="480" w:firstLineChars="200"/>
              <w:rPr>
                <w:rFonts w:eastAsia="黑体"/>
                <w:sz w:val="24"/>
              </w:rPr>
            </w:pPr>
            <w:r>
              <w:rPr>
                <w:rFonts w:eastAsia="黑体"/>
                <w:sz w:val="24"/>
              </w:rPr>
              <w:t>四、气候气象</w:t>
            </w:r>
          </w:p>
          <w:p>
            <w:pPr>
              <w:widowControl/>
              <w:snapToGrid w:val="0"/>
              <w:spacing w:line="520" w:lineRule="exact"/>
              <w:ind w:firstLine="480"/>
              <w:jc w:val="left"/>
              <w:rPr>
                <w:kern w:val="0"/>
                <w:sz w:val="24"/>
              </w:rPr>
            </w:pPr>
            <w:r>
              <w:rPr>
                <w:kern w:val="0"/>
                <w:sz w:val="24"/>
              </w:rPr>
              <w:t>鲁山县位于北亚热带与暖温带交叉过度地带，是典型的暧温带大陆性季风气候，四季分明。冬季盛行偏西北风，夏季盛行偏南风。</w:t>
            </w:r>
          </w:p>
          <w:p>
            <w:pPr>
              <w:widowControl/>
              <w:snapToGrid w:val="0"/>
              <w:spacing w:line="520" w:lineRule="exact"/>
              <w:ind w:firstLine="480"/>
              <w:jc w:val="left"/>
              <w:rPr>
                <w:kern w:val="0"/>
                <w:sz w:val="24"/>
              </w:rPr>
            </w:pPr>
            <w:r>
              <w:rPr>
                <w:kern w:val="0"/>
                <w:sz w:val="24"/>
              </w:rPr>
              <w:t>据鲁山县气象台多年观测资料，本地区年平均气温14.8℃，7月最热，平均气温27.6℃，1月最冷，平均气温0.7℃，极端最高气温43.3℃，极端最低气温-16.7℃。年平均降水827.8mm，7月份降水量最大，平均187.7mm，最高日降水量337.3mm，全年主导风向为东风，风向频率8%，多年平均风速为2.0m/s，历年最大风速为24m/s，年平均无霜期为219天，风雪日97天，最大冻土厚度220mm。</w:t>
            </w:r>
          </w:p>
          <w:p>
            <w:pPr>
              <w:spacing w:line="520" w:lineRule="exact"/>
              <w:ind w:firstLine="480" w:firstLineChars="200"/>
              <w:rPr>
                <w:rFonts w:eastAsia="黑体"/>
                <w:sz w:val="24"/>
              </w:rPr>
            </w:pPr>
            <w:r>
              <w:rPr>
                <w:rFonts w:eastAsia="黑体"/>
                <w:sz w:val="24"/>
              </w:rPr>
              <w:t>五、水文</w:t>
            </w:r>
          </w:p>
          <w:p>
            <w:pPr>
              <w:widowControl/>
              <w:adjustRightInd w:val="0"/>
              <w:snapToGrid w:val="0"/>
              <w:spacing w:line="520" w:lineRule="exact"/>
              <w:ind w:firstLine="480"/>
              <w:jc w:val="left"/>
              <w:rPr>
                <w:kern w:val="0"/>
                <w:sz w:val="24"/>
              </w:rPr>
            </w:pPr>
            <w:r>
              <w:rPr>
                <w:kern w:val="0"/>
                <w:sz w:val="24"/>
              </w:rPr>
              <w:t>鲁山县境内水资源总量9.36亿m</w:t>
            </w:r>
            <w:r>
              <w:rPr>
                <w:kern w:val="0"/>
                <w:sz w:val="24"/>
                <w:vertAlign w:val="superscript"/>
              </w:rPr>
              <w:t>3</w:t>
            </w:r>
            <w:r>
              <w:rPr>
                <w:kern w:val="0"/>
                <w:sz w:val="24"/>
              </w:rPr>
              <w:t>，其中地表水8.47亿m</w:t>
            </w:r>
            <w:r>
              <w:rPr>
                <w:kern w:val="0"/>
                <w:sz w:val="24"/>
                <w:vertAlign w:val="superscript"/>
              </w:rPr>
              <w:t>3</w:t>
            </w:r>
            <w:r>
              <w:rPr>
                <w:kern w:val="0"/>
                <w:sz w:val="24"/>
              </w:rPr>
              <w:t>，地下水（浅层）0.89亿m</w:t>
            </w:r>
            <w:r>
              <w:rPr>
                <w:kern w:val="0"/>
                <w:sz w:val="24"/>
                <w:vertAlign w:val="superscript"/>
              </w:rPr>
              <w:t>3</w:t>
            </w:r>
            <w:r>
              <w:rPr>
                <w:kern w:val="0"/>
                <w:sz w:val="24"/>
              </w:rPr>
              <w:t>。可利用总量1.77亿m</w:t>
            </w:r>
            <w:r>
              <w:rPr>
                <w:kern w:val="0"/>
                <w:sz w:val="24"/>
                <w:vertAlign w:val="superscript"/>
              </w:rPr>
              <w:t>3</w:t>
            </w:r>
            <w:r>
              <w:rPr>
                <w:kern w:val="0"/>
                <w:sz w:val="24"/>
              </w:rPr>
              <w:t>，其中地表水1.61亿m</w:t>
            </w:r>
            <w:r>
              <w:rPr>
                <w:kern w:val="0"/>
                <w:sz w:val="24"/>
                <w:vertAlign w:val="superscript"/>
              </w:rPr>
              <w:t>3</w:t>
            </w:r>
            <w:r>
              <w:rPr>
                <w:kern w:val="0"/>
                <w:sz w:val="24"/>
              </w:rPr>
              <w:t>，地下水（浅层）0.61亿m</w:t>
            </w:r>
            <w:r>
              <w:rPr>
                <w:kern w:val="0"/>
                <w:sz w:val="24"/>
                <w:vertAlign w:val="superscript"/>
              </w:rPr>
              <w:t>3</w:t>
            </w:r>
            <w:r>
              <w:rPr>
                <w:kern w:val="0"/>
                <w:sz w:val="24"/>
              </w:rPr>
              <w:t>。实际利用总量1.23亿m</w:t>
            </w:r>
            <w:r>
              <w:rPr>
                <w:kern w:val="0"/>
                <w:sz w:val="24"/>
                <w:vertAlign w:val="superscript"/>
              </w:rPr>
              <w:t>3</w:t>
            </w:r>
            <w:r>
              <w:rPr>
                <w:kern w:val="0"/>
                <w:sz w:val="24"/>
              </w:rPr>
              <w:t>。</w:t>
            </w:r>
          </w:p>
          <w:p>
            <w:pPr>
              <w:widowControl/>
              <w:adjustRightInd w:val="0"/>
              <w:snapToGrid w:val="0"/>
              <w:spacing w:line="520" w:lineRule="exact"/>
              <w:ind w:firstLine="480"/>
              <w:jc w:val="left"/>
              <w:rPr>
                <w:kern w:val="0"/>
                <w:sz w:val="24"/>
              </w:rPr>
            </w:pPr>
            <w:r>
              <w:rPr>
                <w:kern w:val="0"/>
                <w:sz w:val="24"/>
              </w:rPr>
              <w:t>（1）地表水</w:t>
            </w:r>
          </w:p>
          <w:p>
            <w:pPr>
              <w:widowControl/>
              <w:adjustRightInd w:val="0"/>
              <w:snapToGrid w:val="0"/>
              <w:spacing w:line="520" w:lineRule="exact"/>
              <w:ind w:firstLine="480"/>
              <w:jc w:val="left"/>
              <w:rPr>
                <w:kern w:val="0"/>
                <w:sz w:val="24"/>
              </w:rPr>
            </w:pPr>
            <w:r>
              <w:rPr>
                <w:kern w:val="0"/>
                <w:sz w:val="24"/>
              </w:rPr>
              <w:t>鲁山县域地表水一般流向为自西向东，主要河流有沙河、荡泽河、清水河、大浪河、三里河等。由于鲁山县降水多集中在夏、秋季，加上各河道上游山势陡峭、坡度大、落差大、植被较差，所以常出现汛期洪水暴发，汛后水量贫乏现象，可用量较小。</w:t>
            </w:r>
          </w:p>
          <w:p>
            <w:pPr>
              <w:adjustRightInd w:val="0"/>
              <w:snapToGrid w:val="0"/>
              <w:spacing w:line="520" w:lineRule="exact"/>
              <w:ind w:firstLine="480" w:firstLineChars="200"/>
              <w:jc w:val="left"/>
              <w:rPr>
                <w:kern w:val="0"/>
                <w:sz w:val="24"/>
              </w:rPr>
            </w:pPr>
            <w:r>
              <w:rPr>
                <w:rFonts w:hint="eastAsia"/>
                <w:kern w:val="0"/>
                <w:sz w:val="24"/>
              </w:rPr>
              <w:t>澎河从本项目南侧</w:t>
            </w:r>
            <w:r>
              <w:rPr>
                <w:rFonts w:hint="eastAsia"/>
                <w:kern w:val="0"/>
                <w:sz w:val="24"/>
                <w:lang w:val="en-US" w:eastAsia="zh-CN"/>
              </w:rPr>
              <w:t>5</w:t>
            </w:r>
            <w:r>
              <w:rPr>
                <w:rFonts w:hint="eastAsia"/>
                <w:kern w:val="0"/>
                <w:sz w:val="24"/>
              </w:rPr>
              <w:t>0m处自西向东流过，在小周楼村东侧折向东北流淌</w:t>
            </w:r>
            <w:r>
              <w:rPr>
                <w:rFonts w:hint="eastAsia"/>
                <w:kern w:val="0"/>
                <w:sz w:val="24"/>
                <w:lang w:eastAsia="zh-CN"/>
              </w:rPr>
              <w:t>约</w:t>
            </w:r>
            <w:r>
              <w:rPr>
                <w:rFonts w:hint="eastAsia"/>
                <w:kern w:val="0"/>
                <w:sz w:val="24"/>
              </w:rPr>
              <w:t>8km入白龟山水库。</w:t>
            </w:r>
          </w:p>
          <w:p>
            <w:pPr>
              <w:adjustRightInd w:val="0"/>
              <w:snapToGrid w:val="0"/>
              <w:spacing w:line="520" w:lineRule="exact"/>
              <w:ind w:firstLine="480" w:firstLineChars="200"/>
              <w:jc w:val="left"/>
              <w:rPr>
                <w:kern w:val="0"/>
                <w:sz w:val="24"/>
              </w:rPr>
            </w:pPr>
            <w:r>
              <w:rPr>
                <w:kern w:val="0"/>
                <w:sz w:val="24"/>
              </w:rPr>
              <w:t>（2）地下水</w:t>
            </w:r>
          </w:p>
          <w:p>
            <w:pPr>
              <w:widowControl/>
              <w:adjustRightInd w:val="0"/>
              <w:snapToGrid w:val="0"/>
              <w:spacing w:line="520" w:lineRule="exact"/>
              <w:ind w:firstLine="480"/>
              <w:jc w:val="left"/>
              <w:rPr>
                <w:kern w:val="0"/>
                <w:sz w:val="24"/>
              </w:rPr>
            </w:pPr>
            <w:r>
              <w:rPr>
                <w:kern w:val="0"/>
                <w:sz w:val="24"/>
              </w:rPr>
              <w:t>鲁山县地下水资源丰富，主要来源于大气降水和地表水渗入补给。平原地区地下水主要为降雨入渗补给、山前侧渗补给、渠道侧渗补给和灌溉入渗补给。山区地下水主要为降雨入渗补给。</w:t>
            </w:r>
          </w:p>
          <w:p>
            <w:pPr>
              <w:spacing w:line="520" w:lineRule="exact"/>
              <w:ind w:firstLine="480" w:firstLineChars="200"/>
              <w:rPr>
                <w:rFonts w:eastAsia="黑体"/>
                <w:sz w:val="24"/>
              </w:rPr>
            </w:pPr>
            <w:r>
              <w:rPr>
                <w:rFonts w:eastAsia="黑体"/>
                <w:sz w:val="24"/>
              </w:rPr>
              <w:t>六、土壤、植被、生物多样性</w:t>
            </w:r>
          </w:p>
          <w:p>
            <w:pPr>
              <w:adjustRightInd w:val="0"/>
              <w:snapToGrid w:val="0"/>
              <w:spacing w:line="520" w:lineRule="exact"/>
              <w:ind w:firstLine="480" w:firstLineChars="200"/>
              <w:rPr>
                <w:sz w:val="24"/>
              </w:rPr>
            </w:pPr>
            <w:r>
              <w:rPr>
                <w:sz w:val="24"/>
              </w:rPr>
              <w:t>鲁山县位于北亚热带向温带过渡地带，气候条件、土壤条件都具有明显的过渡性特征，因此，境内植物区系复杂，种类繁多，优势种、建群种明显，鲁山县现有林地136.3万亩，其中用材林53.6万亩，防护林1万亩，薪炭林4.8万亩，经济林5.6万亩，藻木林27.3万亩，蚕坡62.2万亩，森林覆盖率为40.5%。据统计，种子植物124科521属1300余种，其中裸子植物6科11属19种，被子植物118科510属1200余种，蕨类、菌类、苔藓类、藻类植物广泛分布。优势种有禾本科76种，蔷薇科101种，菌种81种，豆科57种，莎草科36种，百合科47种。</w:t>
            </w:r>
          </w:p>
          <w:p>
            <w:pPr>
              <w:adjustRightInd w:val="0"/>
              <w:snapToGrid w:val="0"/>
              <w:spacing w:line="520" w:lineRule="exact"/>
              <w:ind w:firstLine="480" w:firstLineChars="200"/>
              <w:rPr>
                <w:sz w:val="24"/>
              </w:rPr>
            </w:pPr>
            <w:r>
              <w:rPr>
                <w:sz w:val="24"/>
              </w:rPr>
              <w:t>鲁山县境内野生动植物种类较多，常见的野生动植物1100余种，有豹、狼、野猪、狐狸、獐、鹿、猴、黄鼬、鹰、猫头鹰、啄木鸟、画眉、山雀、野鸡及鱼类、蛇类和昆虫类等。绝大多数陆生野生动物分布于鲁山县西南部、西部和西北部的深山地带。</w:t>
            </w:r>
          </w:p>
          <w:p>
            <w:pPr>
              <w:spacing w:line="520" w:lineRule="exact"/>
              <w:ind w:firstLine="480"/>
              <w:rPr>
                <w:sz w:val="24"/>
              </w:rPr>
            </w:pPr>
            <w:r>
              <w:rPr>
                <w:sz w:val="24"/>
              </w:rPr>
              <w:t>根据现场调查，本项目周边1000m范围内无列入《国家重点保护野生植物名录》和《国家重点保护野生动物名录》的动植物。</w:t>
            </w:r>
          </w:p>
          <w:p>
            <w:pPr>
              <w:spacing w:line="520" w:lineRule="exact"/>
              <w:ind w:firstLine="480" w:firstLineChars="200"/>
              <w:rPr>
                <w:rFonts w:eastAsia="黑体"/>
                <w:sz w:val="24"/>
              </w:rPr>
            </w:pPr>
            <w:r>
              <w:rPr>
                <w:rFonts w:eastAsia="黑体"/>
                <w:sz w:val="24"/>
              </w:rPr>
              <w:t>七、文物古迹</w:t>
            </w:r>
          </w:p>
          <w:p>
            <w:pPr>
              <w:adjustRightInd w:val="0"/>
              <w:snapToGrid w:val="0"/>
              <w:spacing w:line="520" w:lineRule="exact"/>
              <w:ind w:firstLine="480" w:firstLineChars="200"/>
              <w:rPr>
                <w:sz w:val="24"/>
              </w:rPr>
            </w:pPr>
            <w:r>
              <w:rPr>
                <w:sz w:val="24"/>
              </w:rPr>
              <w:t>鲁山县位于八百里</w:t>
            </w:r>
            <w:r>
              <w:fldChar w:fldCharType="begin"/>
            </w:r>
            <w:r>
              <w:instrText xml:space="preserve"> HYPERLINK "http://baike.baidu.com/view/4419765.htm" </w:instrText>
            </w:r>
            <w:r>
              <w:fldChar w:fldCharType="separate"/>
            </w:r>
            <w:r>
              <w:rPr>
                <w:rStyle w:val="39"/>
                <w:color w:val="auto"/>
                <w:sz w:val="24"/>
                <w:u w:val="none"/>
              </w:rPr>
              <w:t>伏牛山脉</w:t>
            </w:r>
            <w:r>
              <w:rPr>
                <w:rStyle w:val="39"/>
                <w:color w:val="auto"/>
                <w:sz w:val="24"/>
                <w:u w:val="none"/>
              </w:rPr>
              <w:fldChar w:fldCharType="end"/>
            </w:r>
            <w:r>
              <w:rPr>
                <w:sz w:val="24"/>
              </w:rPr>
              <w:t>中，属国家级</w:t>
            </w:r>
            <w:r>
              <w:fldChar w:fldCharType="begin"/>
            </w:r>
            <w:r>
              <w:instrText xml:space="preserve"> HYPERLINK "http://baike.baidu.com/view/46782.htm" </w:instrText>
            </w:r>
            <w:r>
              <w:fldChar w:fldCharType="separate"/>
            </w:r>
            <w:r>
              <w:rPr>
                <w:rStyle w:val="39"/>
                <w:color w:val="auto"/>
                <w:sz w:val="24"/>
                <w:u w:val="none"/>
              </w:rPr>
              <w:t>生态旅游</w:t>
            </w:r>
            <w:r>
              <w:rPr>
                <w:rStyle w:val="39"/>
                <w:color w:val="auto"/>
                <w:sz w:val="24"/>
                <w:u w:val="none"/>
              </w:rPr>
              <w:fldChar w:fldCharType="end"/>
            </w:r>
            <w:r>
              <w:rPr>
                <w:sz w:val="24"/>
              </w:rPr>
              <w:t>示范县，旅游资源丰富，景区景点众多，主要有：</w:t>
            </w:r>
          </w:p>
          <w:p>
            <w:pPr>
              <w:adjustRightInd w:val="0"/>
              <w:snapToGrid w:val="0"/>
              <w:spacing w:line="520" w:lineRule="exact"/>
              <w:ind w:firstLine="480" w:firstLineChars="200"/>
              <w:rPr>
                <w:sz w:val="24"/>
              </w:rPr>
            </w:pPr>
            <w:r>
              <w:rPr>
                <w:sz w:val="24"/>
              </w:rPr>
              <w:t>尧山（石人山）风景名胜区：国家重点风景名胜区，国家5A级旅游景区，国家级自然保护区，国家地质公园。</w:t>
            </w:r>
          </w:p>
          <w:p>
            <w:pPr>
              <w:adjustRightInd w:val="0"/>
              <w:snapToGrid w:val="0"/>
              <w:spacing w:line="520" w:lineRule="exact"/>
              <w:ind w:firstLine="480" w:firstLineChars="200"/>
              <w:rPr>
                <w:sz w:val="24"/>
              </w:rPr>
            </w:pPr>
            <w:r>
              <w:rPr>
                <w:sz w:val="24"/>
              </w:rPr>
              <w:t>中原大佛景区：国家5A级旅游景区、世界第一大佛、世界第一大钟。</w:t>
            </w:r>
          </w:p>
          <w:p>
            <w:pPr>
              <w:adjustRightInd w:val="0"/>
              <w:snapToGrid w:val="0"/>
              <w:spacing w:line="520" w:lineRule="exact"/>
              <w:ind w:firstLine="480" w:firstLineChars="200"/>
              <w:rPr>
                <w:sz w:val="24"/>
              </w:rPr>
            </w:pPr>
            <w:r>
              <w:rPr>
                <w:sz w:val="24"/>
              </w:rPr>
              <w:t>上汤佛泉寺景区：国家AAAAA级旅游区，中国知名的礼佛圣地。以鲁山大佛、佛泉寺的精品建设以及温泉资源的高品位开发为核心，围绕休闲度假和养生养心开发适当的休闲度假设施，并提高旅游接待设施的接待能力和档次，使之成为佛教文化、温泉文化和生态山水有机融合的全国知名景区。</w:t>
            </w:r>
          </w:p>
          <w:p>
            <w:pPr>
              <w:adjustRightInd w:val="0"/>
              <w:snapToGrid w:val="0"/>
              <w:spacing w:line="520" w:lineRule="exact"/>
              <w:ind w:firstLine="480" w:firstLineChars="200"/>
              <w:rPr>
                <w:sz w:val="24"/>
              </w:rPr>
            </w:pPr>
            <w:r>
              <w:rPr>
                <w:sz w:val="24"/>
              </w:rPr>
              <w:t>项目周围最近500m范围内无发现的文物古迹。</w:t>
            </w:r>
          </w:p>
          <w:p>
            <w:pPr>
              <w:spacing w:line="520" w:lineRule="exact"/>
              <w:ind w:firstLine="480" w:firstLineChars="200"/>
              <w:rPr>
                <w:rFonts w:eastAsia="黑体"/>
                <w:sz w:val="24"/>
              </w:rPr>
            </w:pPr>
            <w:r>
              <w:rPr>
                <w:rFonts w:eastAsia="黑体"/>
                <w:sz w:val="24"/>
              </w:rPr>
              <w:t>八、饮用水源地环境保护规划</w:t>
            </w:r>
          </w:p>
          <w:p>
            <w:pPr>
              <w:pStyle w:val="58"/>
              <w:ind w:firstLine="480"/>
              <w:rPr>
                <w:rFonts w:ascii="Times New Roman" w:hAnsi="Times New Roman" w:cs="Times New Roman"/>
              </w:rPr>
            </w:pPr>
            <w:r>
              <w:rPr>
                <w:rFonts w:hint="eastAsia" w:ascii="Times New Roman" w:hAnsi="Times New Roman" w:cs="Times New Roman"/>
              </w:rPr>
              <w:t>8.1</w:t>
            </w:r>
            <w:r>
              <w:rPr>
                <w:rFonts w:ascii="Times New Roman" w:hAnsi="Times New Roman" w:cs="Times New Roman"/>
              </w:rPr>
              <w:t>昭平台水库地表饮用水源保护区</w:t>
            </w:r>
          </w:p>
          <w:p>
            <w:pPr>
              <w:spacing w:line="520" w:lineRule="exact"/>
              <w:ind w:firstLine="480" w:firstLineChars="200"/>
              <w:rPr>
                <w:sz w:val="24"/>
              </w:rPr>
            </w:pPr>
            <w:r>
              <w:rPr>
                <w:sz w:val="24"/>
              </w:rPr>
              <w:t>根据《平顶山市饮用水源保护区调整技术报告》及其批复文件《河南省环境保护厅关于进一步明确昭平台水库地表水源保护区范围的函》（豫环函【2013】57号），昭平台水库地表水源保护区调整后的保护范围如下：</w:t>
            </w:r>
          </w:p>
          <w:p>
            <w:pPr>
              <w:spacing w:line="520" w:lineRule="exact"/>
              <w:ind w:firstLine="480" w:firstLineChars="200"/>
              <w:rPr>
                <w:sz w:val="24"/>
              </w:rPr>
            </w:pPr>
            <w:r>
              <w:rPr>
                <w:sz w:val="24"/>
              </w:rPr>
              <w:t>一级保护区范围为东起昭平台水库大坝，西至沙河入库口向库区延伸3376m的断面，连接北侧姑嫂石庙院和南侧西坡村所在半岛得到的一级保护区边界的水域范围；一级保护区水域（正常水位线171.4m）以上纵深200m，遇环库路则以环库路为边界的陆域；沙河干流昭平台水库至白龟山水库之间的水域。一级保护区面积为46.55平方千米。</w:t>
            </w:r>
          </w:p>
          <w:p>
            <w:pPr>
              <w:spacing w:line="520" w:lineRule="exact"/>
              <w:ind w:firstLine="480" w:firstLineChars="200"/>
              <w:rPr>
                <w:sz w:val="24"/>
              </w:rPr>
            </w:pPr>
            <w:r>
              <w:rPr>
                <w:sz w:val="24"/>
              </w:rPr>
              <w:t>二级保护区范围为一级保护区边界向上游延伸2000m，东起一级保护区边界，西北至东王村，西南至石桥村的水域范围；一级保护区陆域边界、二级保护区水域（正常水位线171.4m）以外，环库路以内的陆域；七里河、将相河、瀼河、肥河、大浪河入河口向上游延伸1000m水域及其沿岸纵深50m陆域范围。二级保护区面积为19.57平方千米。</w:t>
            </w:r>
          </w:p>
          <w:p>
            <w:pPr>
              <w:spacing w:line="520" w:lineRule="exact"/>
              <w:ind w:firstLine="480" w:firstLineChars="200"/>
              <w:rPr>
                <w:sz w:val="24"/>
              </w:rPr>
            </w:pPr>
            <w:r>
              <w:rPr>
                <w:sz w:val="24"/>
              </w:rPr>
              <w:t>准保护区范围为昭平台水库上游入库河流水域及其沿岸500m的陆域。准保护区面积为168.60平方千米。</w:t>
            </w:r>
          </w:p>
          <w:p>
            <w:pPr>
              <w:spacing w:line="520" w:lineRule="exact"/>
              <w:ind w:firstLine="480" w:firstLineChars="200"/>
              <w:rPr>
                <w:sz w:val="24"/>
              </w:rPr>
            </w:pPr>
            <w:r>
              <w:rPr>
                <w:bCs/>
                <w:sz w:val="24"/>
              </w:rPr>
              <w:t>本项目位于</w:t>
            </w:r>
            <w:r>
              <w:rPr>
                <w:rFonts w:hint="eastAsia"/>
                <w:bCs/>
                <w:sz w:val="24"/>
              </w:rPr>
              <w:t>平顶山市鲁山县张良镇工业园区西南角</w:t>
            </w:r>
            <w:r>
              <w:rPr>
                <w:sz w:val="24"/>
              </w:rPr>
              <w:t>，在昭平台水库的下游区域，不在昭平台水库地表水饮用水源一、二级保护区及准保护区范围内，项目选址符合当地饮用水源规划。</w:t>
            </w:r>
          </w:p>
          <w:p>
            <w:pPr>
              <w:spacing w:line="520" w:lineRule="exact"/>
              <w:ind w:firstLine="480" w:firstLineChars="200"/>
              <w:rPr>
                <w:color w:val="auto"/>
                <w:sz w:val="24"/>
              </w:rPr>
            </w:pPr>
            <w:r>
              <w:rPr>
                <w:rFonts w:hint="eastAsia"/>
                <w:color w:val="auto"/>
                <w:sz w:val="24"/>
              </w:rPr>
              <w:t>8.</w:t>
            </w:r>
            <w:r>
              <w:rPr>
                <w:rFonts w:hint="eastAsia"/>
                <w:color w:val="auto"/>
                <w:sz w:val="24"/>
                <w:lang w:val="en-US" w:eastAsia="zh-CN"/>
              </w:rPr>
              <w:t>2白龟山水库</w:t>
            </w:r>
            <w:r>
              <w:rPr>
                <w:color w:val="auto"/>
                <w:sz w:val="24"/>
              </w:rPr>
              <w:t>饮用水水源保护区</w:t>
            </w:r>
          </w:p>
          <w:p>
            <w:pPr>
              <w:spacing w:line="520" w:lineRule="exact"/>
              <w:ind w:firstLine="480" w:firstLineChars="200"/>
              <w:rPr>
                <w:rFonts w:hint="eastAsia"/>
                <w:color w:val="auto"/>
                <w:sz w:val="24"/>
                <w:lang w:val="en-US" w:eastAsia="zh-CN"/>
              </w:rPr>
            </w:pPr>
            <w:r>
              <w:rPr>
                <w:rFonts w:hint="eastAsia"/>
                <w:color w:val="auto"/>
                <w:sz w:val="24"/>
                <w:lang w:val="en-US" w:eastAsia="zh-CN"/>
              </w:rPr>
              <w:t>根据《河南省政府办公厅关于印发河南省城市集中式饮用水源保护区划的通知》（豫政办[2007]125号），白龟山水库地表饮用水源保护区如下：</w:t>
            </w:r>
          </w:p>
          <w:p>
            <w:pPr>
              <w:spacing w:line="520" w:lineRule="exact"/>
              <w:ind w:firstLine="480" w:firstLineChars="200"/>
              <w:rPr>
                <w:bCs/>
                <w:sz w:val="24"/>
              </w:rPr>
            </w:pPr>
            <w:r>
              <w:rPr>
                <w:bCs/>
                <w:sz w:val="24"/>
              </w:rPr>
              <w:t>一级保护区：白龟山水库高程103.0m以下的区域；昭平台水库环库路内的区域；应河、大浪河、澎河、荡泽河、沙河、团城河、清水河等主要支流入库口上游2000m的水域及其沿岸50m的陆域；沙河干流昭平台至白龟山水库间的水域；将相河、三里河、七里河、瀼河、肥河入沙河口上游2000m的水域及其沿岸50m的陆域。</w:t>
            </w:r>
          </w:p>
          <w:p>
            <w:pPr>
              <w:spacing w:line="520" w:lineRule="exact"/>
              <w:ind w:firstLine="480" w:firstLineChars="200"/>
              <w:rPr>
                <w:bCs/>
                <w:sz w:val="24"/>
              </w:rPr>
            </w:pPr>
            <w:r>
              <w:rPr>
                <w:bCs/>
                <w:sz w:val="24"/>
              </w:rPr>
              <w:t>二级保护区：白龟山水库，环湖路东起东刘村、西至西太平村以南除一级保护区外的区域，环湖其它区域为水库高程104.0m以下除一级保护区外的区域；昭平台水库高程177.1m内的区域；将相河、大浪河一级保护区外所有的水域；其它主要支流一级水体保护区上游2000m的水域及其沿岸50m的陆域。</w:t>
            </w:r>
          </w:p>
          <w:p>
            <w:pPr>
              <w:spacing w:line="520" w:lineRule="exact"/>
              <w:ind w:firstLine="480" w:firstLineChars="200"/>
              <w:rPr>
                <w:bCs/>
                <w:sz w:val="24"/>
              </w:rPr>
            </w:pPr>
            <w:r>
              <w:rPr>
                <w:bCs/>
                <w:sz w:val="24"/>
              </w:rPr>
              <w:t>准保护区：汇入白龟山水库、昭平台水库、沙河所有二级保护区上游水域及其沿岸500m的陆域。</w:t>
            </w:r>
          </w:p>
          <w:p>
            <w:pPr>
              <w:spacing w:line="520" w:lineRule="exact"/>
              <w:ind w:firstLine="480" w:firstLineChars="200"/>
              <w:rPr>
                <w:rFonts w:hint="default"/>
                <w:color w:val="auto"/>
                <w:sz w:val="24"/>
                <w:lang w:val="en-US" w:eastAsia="zh-CN"/>
              </w:rPr>
            </w:pPr>
            <w:r>
              <w:rPr>
                <w:bCs/>
                <w:color w:val="auto"/>
                <w:sz w:val="24"/>
              </w:rPr>
              <w:t>本项目位于</w:t>
            </w:r>
            <w:r>
              <w:rPr>
                <w:rFonts w:hint="eastAsia"/>
                <w:bCs/>
                <w:color w:val="auto"/>
                <w:sz w:val="24"/>
              </w:rPr>
              <w:t>平顶山市鲁山县张良镇工业园区西南角</w:t>
            </w:r>
            <w:r>
              <w:rPr>
                <w:color w:val="auto"/>
                <w:sz w:val="24"/>
              </w:rPr>
              <w:t>，</w:t>
            </w:r>
            <w:r>
              <w:rPr>
                <w:rFonts w:hint="eastAsia"/>
                <w:color w:val="auto"/>
                <w:sz w:val="24"/>
                <w:lang w:val="en-US" w:eastAsia="zh-CN"/>
              </w:rPr>
              <w:t>澎河北侧，位于白龟山水库准保护区。根据地表水饮用水源保护区的监督管理：“地表水饮用水源准保护区内，禁止新建、扩建对水体污染严重的建设项目；改建项目不得增加排污量。”项目无外排废水，对白龟山水库影响较小。</w:t>
            </w:r>
          </w:p>
          <w:p>
            <w:pPr>
              <w:spacing w:line="520" w:lineRule="exact"/>
              <w:ind w:firstLine="480" w:firstLineChars="200"/>
              <w:rPr>
                <w:rFonts w:hint="eastAsia"/>
                <w:bCs/>
                <w:color w:val="auto"/>
                <w:sz w:val="24"/>
              </w:rPr>
            </w:pPr>
            <w:r>
              <w:rPr>
                <w:rFonts w:hint="eastAsia"/>
                <w:bCs/>
                <w:color w:val="auto"/>
                <w:sz w:val="24"/>
              </w:rPr>
              <w:t>8</w:t>
            </w:r>
            <w:r>
              <w:rPr>
                <w:rFonts w:hint="eastAsia"/>
                <w:bCs/>
                <w:color w:val="auto"/>
                <w:sz w:val="24"/>
                <w:lang w:val="en-US" w:eastAsia="zh-CN"/>
              </w:rPr>
              <w:t>.3</w:t>
            </w:r>
            <w:r>
              <w:rPr>
                <w:rFonts w:hint="eastAsia"/>
                <w:bCs/>
                <w:color w:val="auto"/>
                <w:sz w:val="24"/>
              </w:rPr>
              <w:t>与鲁山县乡镇集中式饮用水水源保护区的相符性分析</w:t>
            </w:r>
          </w:p>
          <w:p>
            <w:pPr>
              <w:spacing w:line="520" w:lineRule="exact"/>
              <w:ind w:firstLine="480" w:firstLineChars="200"/>
              <w:rPr>
                <w:rFonts w:hint="default"/>
                <w:bCs/>
                <w:color w:val="auto"/>
                <w:sz w:val="24"/>
              </w:rPr>
            </w:pPr>
            <w:r>
              <w:rPr>
                <w:rFonts w:hint="default"/>
                <w:bCs/>
                <w:color w:val="auto"/>
                <w:sz w:val="24"/>
              </w:rPr>
              <w:t>根据《河南省人民政府办公厅关于印发河南省乡镇集中式饮用水水源保护区划的通知》（豫政办[2016]23号），距本项目最近的乡镇级饮用水源为张良镇饮用水源，其保护区设置如下：</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bCs/>
                <w:color w:val="auto"/>
                <w:sz w:val="24"/>
              </w:rPr>
            </w:pPr>
            <w:r>
              <w:rPr>
                <w:rFonts w:hint="default"/>
                <w:bCs/>
                <w:color w:val="auto"/>
                <w:sz w:val="24"/>
              </w:rPr>
              <w:t>一级保护区范围:水厂厂区及外围47米的区域。</w:t>
            </w:r>
          </w:p>
          <w:p>
            <w:pPr>
              <w:pStyle w:val="59"/>
              <w:keepNext w:val="0"/>
              <w:keepLines w:val="0"/>
              <w:pageBreakBefore w:val="0"/>
              <w:kinsoku/>
              <w:wordWrap/>
              <w:overflowPunct/>
              <w:topLinePunct w:val="0"/>
              <w:autoSpaceDE/>
              <w:autoSpaceDN/>
              <w:bidi w:val="0"/>
              <w:adjustRightInd/>
              <w:snapToGrid/>
              <w:spacing w:line="520" w:lineRule="exact"/>
              <w:ind w:firstLine="480" w:firstLineChars="200"/>
              <w:textAlignment w:val="auto"/>
              <w:rPr>
                <w:kern w:val="2"/>
                <w:sz w:val="24"/>
                <w:szCs w:val="24"/>
              </w:rPr>
            </w:pPr>
            <w:r>
              <w:rPr>
                <w:rFonts w:hint="eastAsia"/>
                <w:kern w:val="2"/>
                <w:sz w:val="24"/>
                <w:szCs w:val="24"/>
              </w:rPr>
              <w:t>本项目距离张良镇集中式饮用水水源保护区</w:t>
            </w:r>
            <w:r>
              <w:rPr>
                <w:rFonts w:hint="eastAsia"/>
                <w:kern w:val="2"/>
                <w:sz w:val="24"/>
                <w:szCs w:val="24"/>
                <w:lang w:eastAsia="zh-CN"/>
              </w:rPr>
              <w:t>约</w:t>
            </w:r>
            <w:r>
              <w:rPr>
                <w:rFonts w:hint="eastAsia"/>
                <w:kern w:val="2"/>
                <w:sz w:val="24"/>
                <w:szCs w:val="24"/>
              </w:rPr>
              <w:t>1</w:t>
            </w:r>
            <w:r>
              <w:rPr>
                <w:rFonts w:hint="eastAsia"/>
                <w:kern w:val="2"/>
                <w:sz w:val="24"/>
                <w:szCs w:val="24"/>
                <w:lang w:val="en-US" w:eastAsia="zh-CN"/>
              </w:rPr>
              <w:t>6</w:t>
            </w:r>
            <w:r>
              <w:rPr>
                <w:rFonts w:hint="eastAsia"/>
                <w:kern w:val="2"/>
                <w:sz w:val="24"/>
                <w:szCs w:val="24"/>
              </w:rPr>
              <w:t>00米，不在张良镇集中式饮用水水源保护区范围内。</w:t>
            </w:r>
          </w:p>
          <w:p>
            <w:pPr>
              <w:pStyle w:val="58"/>
              <w:keepNext w:val="0"/>
              <w:keepLines w:val="0"/>
              <w:pageBreakBefore w:val="0"/>
              <w:widowControl w:val="0"/>
              <w:kinsoku/>
              <w:wordWrap/>
              <w:overflowPunct/>
              <w:topLinePunct w:val="0"/>
              <w:autoSpaceDE/>
              <w:autoSpaceDN/>
              <w:bidi w:val="0"/>
              <w:adjustRightInd/>
              <w:snapToGrid/>
              <w:spacing w:line="520" w:lineRule="exact"/>
              <w:ind w:firstLine="480"/>
              <w:textAlignment w:val="auto"/>
              <w:rPr>
                <w:rFonts w:ascii="Times New Roman" w:hAnsi="Times New Roman" w:cs="Times New Roman"/>
                <w:bCs/>
              </w:rPr>
            </w:pPr>
            <w:r>
              <w:rPr>
                <w:rFonts w:hint="eastAsia" w:ascii="Times New Roman" w:hAnsi="Times New Roman" w:cs="Times New Roman"/>
                <w:bCs/>
              </w:rPr>
              <w:t>8.</w:t>
            </w:r>
            <w:r>
              <w:rPr>
                <w:rFonts w:hint="eastAsia" w:ascii="Times New Roman" w:hAnsi="Times New Roman" w:cs="Times New Roman"/>
                <w:bCs/>
                <w:lang w:val="en-US" w:eastAsia="zh-CN"/>
              </w:rPr>
              <w:t>4</w:t>
            </w:r>
            <w:r>
              <w:rPr>
                <w:rFonts w:ascii="Times New Roman" w:hAnsi="Times New Roman" w:cs="Times New Roman"/>
                <w:bCs/>
              </w:rPr>
              <w:t>南水北调中线工程</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color w:val="auto"/>
                <w:sz w:val="24"/>
                <w:szCs w:val="24"/>
              </w:rPr>
            </w:pPr>
            <w:r>
              <w:rPr>
                <w:rFonts w:hint="eastAsia" w:ascii="Times New Roman" w:hAnsi="Times New Roman" w:eastAsia="宋体" w:cs="Times New Roman"/>
                <w:color w:val="auto"/>
                <w:sz w:val="24"/>
                <w:szCs w:val="24"/>
              </w:rPr>
              <w:t>根据</w:t>
            </w:r>
            <w:r>
              <w:rPr>
                <w:rFonts w:hint="eastAsia" w:ascii="Times New Roman" w:hAnsi="Times New Roman" w:eastAsia="宋体" w:cs="Times New Roman"/>
                <w:color w:val="auto"/>
                <w:sz w:val="24"/>
                <w:szCs w:val="24"/>
                <w:lang w:eastAsia="zh-CN"/>
              </w:rPr>
              <w:t>《关于印发</w:t>
            </w:r>
            <w:r>
              <w:rPr>
                <w:rFonts w:hint="eastAsia" w:ascii="Times New Roman" w:hAnsi="Times New Roman" w:eastAsia="宋体" w:cs="Times New Roman"/>
                <w:color w:val="auto"/>
                <w:sz w:val="24"/>
                <w:szCs w:val="24"/>
              </w:rPr>
              <w:t>南水北调中线一期工程总干渠（河南段）两侧饮用水水源保护区划</w:t>
            </w:r>
            <w:r>
              <w:rPr>
                <w:rFonts w:hint="eastAsia" w:ascii="Times New Roman" w:hAnsi="Times New Roman" w:eastAsia="宋体" w:cs="Times New Roman"/>
                <w:color w:val="auto"/>
                <w:sz w:val="24"/>
                <w:szCs w:val="24"/>
                <w:lang w:eastAsia="zh-CN"/>
              </w:rPr>
              <w:t>的通知》（豫调办</w:t>
            </w:r>
            <w:r>
              <w:rPr>
                <w:rFonts w:hint="eastAsia" w:ascii="Times New Roman" w:hAnsi="Times New Roman" w:eastAsia="宋体" w:cs="Times New Roman"/>
                <w:color w:val="auto"/>
                <w:sz w:val="24"/>
                <w:szCs w:val="24"/>
                <w:lang w:val="en-US" w:eastAsia="zh-CN"/>
              </w:rPr>
              <w:t>[2018]56号</w:t>
            </w:r>
            <w:r>
              <w:rPr>
                <w:rFonts w:hint="eastAsia" w:ascii="Times New Roman" w:hAnsi="Times New Roman" w:eastAsia="宋体" w:cs="Times New Roman"/>
                <w:color w:val="auto"/>
                <w:sz w:val="24"/>
                <w:szCs w:val="24"/>
                <w:lang w:eastAsia="zh-CN"/>
              </w:rPr>
              <w:t>），</w:t>
            </w:r>
            <w:r>
              <w:rPr>
                <w:rFonts w:hint="eastAsia"/>
                <w:color w:val="auto"/>
                <w:sz w:val="24"/>
                <w:szCs w:val="24"/>
              </w:rPr>
              <w:t>南水北调中线一期工程总干渠在河南省境内的工程类型分为建筑物段和总干渠明渠段。</w:t>
            </w:r>
          </w:p>
          <w:p>
            <w:pPr>
              <w:numPr>
                <w:ilvl w:val="0"/>
                <w:numId w:val="2"/>
              </w:numPr>
              <w:spacing w:line="360" w:lineRule="auto"/>
              <w:ind w:firstLine="480" w:firstLineChars="200"/>
              <w:jc w:val="left"/>
              <w:rPr>
                <w:color w:val="auto"/>
                <w:sz w:val="24"/>
                <w:szCs w:val="24"/>
              </w:rPr>
            </w:pPr>
            <w:r>
              <w:rPr>
                <w:rFonts w:hint="eastAsia"/>
                <w:color w:val="auto"/>
                <w:sz w:val="24"/>
                <w:szCs w:val="24"/>
              </w:rPr>
              <w:t>建筑物段（渡槽、倒虹吸、暗涵、隧洞）</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一级保护区范围自总干渠管理范围边线（防护栏网）外延50米，不设二级保护区。</w:t>
            </w:r>
          </w:p>
          <w:p>
            <w:pPr>
              <w:numPr>
                <w:ilvl w:val="0"/>
                <w:numId w:val="3"/>
              </w:numPr>
              <w:spacing w:line="360" w:lineRule="auto"/>
              <w:ind w:firstLine="480" w:firstLineChars="200"/>
              <w:jc w:val="left"/>
              <w:rPr>
                <w:color w:val="auto"/>
                <w:sz w:val="24"/>
                <w:szCs w:val="24"/>
              </w:rPr>
            </w:pPr>
            <w:r>
              <w:rPr>
                <w:rFonts w:hint="eastAsia"/>
                <w:color w:val="auto"/>
                <w:sz w:val="24"/>
                <w:szCs w:val="24"/>
              </w:rPr>
              <w:t>总干渠明渠段</w:t>
            </w:r>
          </w:p>
          <w:p>
            <w:pPr>
              <w:spacing w:line="360" w:lineRule="auto"/>
              <w:ind w:firstLine="480" w:firstLineChars="200"/>
              <w:jc w:val="left"/>
              <w:rPr>
                <w:color w:val="auto"/>
                <w:sz w:val="24"/>
                <w:szCs w:val="24"/>
              </w:rPr>
            </w:pPr>
            <w:r>
              <w:rPr>
                <w:rFonts w:hint="eastAsia"/>
                <w:color w:val="auto"/>
                <w:sz w:val="24"/>
                <w:szCs w:val="24"/>
              </w:rPr>
              <w:t>根据地下水水位与总干渠渠底高程的关系，分为以下几种类型：</w:t>
            </w:r>
          </w:p>
          <w:p>
            <w:pPr>
              <w:numPr>
                <w:ilvl w:val="0"/>
                <w:numId w:val="4"/>
              </w:numPr>
              <w:spacing w:line="360" w:lineRule="auto"/>
              <w:ind w:firstLine="480" w:firstLineChars="200"/>
              <w:jc w:val="left"/>
              <w:rPr>
                <w:color w:val="auto"/>
                <w:sz w:val="24"/>
                <w:szCs w:val="24"/>
              </w:rPr>
            </w:pPr>
            <w:r>
              <w:rPr>
                <w:rFonts w:hint="eastAsia"/>
                <w:color w:val="auto"/>
                <w:sz w:val="24"/>
                <w:szCs w:val="24"/>
              </w:rPr>
              <w:t>地下水水位低于总干渠渠底的渠段</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一级保护区范围自总干渠管理范围边线（防护栏网）外延50米；</w:t>
            </w:r>
          </w:p>
          <w:p>
            <w:pPr>
              <w:spacing w:line="360" w:lineRule="auto"/>
              <w:ind w:firstLine="480" w:firstLineChars="200"/>
              <w:jc w:val="left"/>
              <w:rPr>
                <w:color w:val="auto"/>
                <w:sz w:val="24"/>
                <w:szCs w:val="24"/>
              </w:rPr>
            </w:pPr>
            <w:r>
              <w:rPr>
                <w:rFonts w:hint="eastAsia"/>
                <w:color w:val="auto"/>
                <w:sz w:val="24"/>
                <w:szCs w:val="24"/>
              </w:rPr>
              <w:t>二级保护区范围自一级保护区边线外延150米。</w:t>
            </w:r>
          </w:p>
          <w:p>
            <w:pPr>
              <w:numPr>
                <w:ilvl w:val="0"/>
                <w:numId w:val="5"/>
              </w:numPr>
              <w:spacing w:line="360" w:lineRule="auto"/>
              <w:ind w:firstLine="480" w:firstLineChars="200"/>
              <w:jc w:val="left"/>
              <w:rPr>
                <w:color w:val="auto"/>
                <w:sz w:val="24"/>
                <w:szCs w:val="24"/>
              </w:rPr>
            </w:pPr>
            <w:r>
              <w:rPr>
                <w:rFonts w:hint="eastAsia"/>
                <w:color w:val="auto"/>
                <w:sz w:val="24"/>
                <w:szCs w:val="24"/>
              </w:rPr>
              <w:t>地下水水位高于总干渠渠底的渠段</w:t>
            </w:r>
          </w:p>
          <w:p>
            <w:pPr>
              <w:spacing w:line="360" w:lineRule="auto"/>
              <w:ind w:firstLine="480" w:firstLineChars="200"/>
              <w:jc w:val="left"/>
              <w:rPr>
                <w:color w:val="auto"/>
                <w:sz w:val="24"/>
                <w:szCs w:val="24"/>
              </w:rPr>
            </w:pPr>
            <w:r>
              <w:rPr>
                <w:rFonts w:hint="eastAsia"/>
                <w:color w:val="auto"/>
                <w:sz w:val="24"/>
                <w:szCs w:val="24"/>
              </w:rPr>
              <w:t>（1）微~弱透水性地层</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一级保护区范围自总干渠管理范围边线（防护栏网）外延50米；</w:t>
            </w:r>
          </w:p>
          <w:p>
            <w:pPr>
              <w:spacing w:line="360" w:lineRule="auto"/>
              <w:ind w:firstLine="480" w:firstLineChars="200"/>
              <w:jc w:val="left"/>
              <w:rPr>
                <w:color w:val="auto"/>
                <w:sz w:val="24"/>
                <w:szCs w:val="24"/>
              </w:rPr>
            </w:pPr>
            <w:r>
              <w:rPr>
                <w:rFonts w:hint="eastAsia"/>
                <w:color w:val="auto"/>
                <w:sz w:val="24"/>
                <w:szCs w:val="24"/>
              </w:rPr>
              <w:t>二级保护区范围自一级保护区边线外延500米。</w:t>
            </w:r>
          </w:p>
          <w:p>
            <w:pPr>
              <w:numPr>
                <w:ilvl w:val="0"/>
                <w:numId w:val="6"/>
              </w:numPr>
              <w:spacing w:line="360" w:lineRule="auto"/>
              <w:ind w:firstLine="480" w:firstLineChars="200"/>
              <w:jc w:val="left"/>
              <w:rPr>
                <w:color w:val="auto"/>
                <w:sz w:val="24"/>
                <w:szCs w:val="24"/>
              </w:rPr>
            </w:pPr>
            <w:r>
              <w:rPr>
                <w:rFonts w:hint="eastAsia"/>
                <w:color w:val="auto"/>
                <w:sz w:val="24"/>
                <w:szCs w:val="24"/>
              </w:rPr>
              <w:t>弱~中等透水性地层</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一级保护区范围自总干渠管理范围边线（防护栏网）外延100米；</w:t>
            </w:r>
          </w:p>
          <w:p>
            <w:pPr>
              <w:spacing w:line="360" w:lineRule="auto"/>
              <w:ind w:firstLine="480" w:firstLineChars="200"/>
              <w:jc w:val="left"/>
              <w:rPr>
                <w:color w:val="auto"/>
                <w:sz w:val="24"/>
                <w:szCs w:val="24"/>
              </w:rPr>
            </w:pPr>
            <w:r>
              <w:rPr>
                <w:rFonts w:hint="eastAsia"/>
                <w:color w:val="auto"/>
                <w:sz w:val="24"/>
                <w:szCs w:val="24"/>
              </w:rPr>
              <w:t>二级保护区范围自一级保护区边线外延1000米。</w:t>
            </w:r>
          </w:p>
          <w:p>
            <w:pPr>
              <w:numPr>
                <w:ilvl w:val="0"/>
                <w:numId w:val="7"/>
              </w:numPr>
              <w:spacing w:line="360" w:lineRule="auto"/>
              <w:ind w:firstLine="480" w:firstLineChars="200"/>
              <w:jc w:val="left"/>
              <w:rPr>
                <w:color w:val="auto"/>
                <w:sz w:val="24"/>
                <w:szCs w:val="24"/>
              </w:rPr>
            </w:pPr>
            <w:r>
              <w:rPr>
                <w:rFonts w:hint="eastAsia"/>
                <w:color w:val="auto"/>
                <w:sz w:val="24"/>
                <w:szCs w:val="24"/>
              </w:rPr>
              <w:t>强透水性地层</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一级保护区范围自总干渠管理范围边线（防护栏网）外延200米；</w:t>
            </w:r>
          </w:p>
          <w:p>
            <w:pPr>
              <w:pStyle w:val="58"/>
              <w:ind w:firstLine="480"/>
              <w:rPr>
                <w:rFonts w:ascii="Times New Roman" w:hAnsi="Times New Roman" w:cs="Times New Roman"/>
                <w:bCs/>
                <w:color w:val="auto"/>
              </w:rPr>
            </w:pPr>
            <w:r>
              <w:rPr>
                <w:rFonts w:hint="eastAsia"/>
                <w:color w:val="auto"/>
                <w:sz w:val="24"/>
                <w:szCs w:val="24"/>
              </w:rPr>
              <w:t>二级保护区范围自一级保护区边线外延2000米、1500米。</w:t>
            </w:r>
          </w:p>
          <w:p>
            <w:pPr>
              <w:pStyle w:val="58"/>
              <w:ind w:firstLine="480"/>
              <w:rPr>
                <w:rFonts w:ascii="Times New Roman" w:hAnsi="Times New Roman" w:cs="Times New Roman"/>
                <w:bCs/>
                <w:color w:val="0000FF"/>
              </w:rPr>
            </w:pPr>
            <w:r>
              <w:rPr>
                <w:rFonts w:ascii="Times New Roman" w:hAnsi="Times New Roman" w:cs="Times New Roman"/>
                <w:bCs/>
                <w:color w:val="auto"/>
              </w:rPr>
              <w:t>本项目位于南水北调中线工程右岸，距离北侧南水北调中线工程鲁山段最近距离</w:t>
            </w:r>
            <w:r>
              <w:rPr>
                <w:rFonts w:hint="eastAsia" w:ascii="Times New Roman" w:hAnsi="Times New Roman" w:cs="Times New Roman"/>
                <w:bCs/>
                <w:color w:val="auto"/>
              </w:rPr>
              <w:t>3.0k</w:t>
            </w:r>
            <w:r>
              <w:rPr>
                <w:rFonts w:ascii="Times New Roman" w:hAnsi="Times New Roman" w:cs="Times New Roman"/>
                <w:bCs/>
                <w:color w:val="auto"/>
              </w:rPr>
              <w:t>m，不在南水北调中线工程划定的保护区范围内，符合南水北调规划要求。</w:t>
            </w:r>
          </w:p>
          <w:p>
            <w:pPr>
              <w:spacing w:line="520" w:lineRule="exact"/>
              <w:ind w:firstLine="480" w:firstLineChars="200"/>
              <w:rPr>
                <w:rFonts w:hint="eastAsia" w:eastAsia="黑体"/>
                <w:sz w:val="24"/>
              </w:rPr>
            </w:pPr>
            <w:r>
              <w:rPr>
                <w:rFonts w:hint="eastAsia" w:eastAsia="黑体"/>
                <w:sz w:val="24"/>
                <w:lang w:eastAsia="zh-CN"/>
              </w:rPr>
              <w:t>九、</w:t>
            </w:r>
            <w:r>
              <w:rPr>
                <w:rFonts w:hint="eastAsia" w:eastAsia="黑体"/>
                <w:sz w:val="24"/>
              </w:rPr>
              <w:t>本项目与《 鲁山县 2020  年大气污染防治攻坚战实施方案 》相符性</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2020年3月29日，鲁山县环境污染防治攻坚战领导小组办公室以“鲁攻坚办〔2020〕7 号”印发了《鲁山县 2020 年大气污染防治攻坚战实施方案》，主要内容如下：</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工作目标：2020 年全县 PM 2.5 （细颗粒物）年均浓度达到 40 微克/立方米以下，PM 10 （可吸入颗粒物）年均浓度达到 83 微克/立方米以下，全县主要污染物排放总量和重度及以上污染天数明显减少。</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主要任务：</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（一）持续调整优化产业结构。</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1. 着力调整产业布局。加快调整不符合生态环境功能定位的产业布局、产业规模和产业结构，按照《产业结构调整指导目录（2019 年本）》和《河南省部分工业行业淘汰落后生产工艺装备和产品目录》，按照省确定禁止和限制发展的行业、生产工艺和产业目录，2020 年 4 月底，排查建立我县年度淘汰类工业产能和装备清单台账，年底前关停淘汰完毕。</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4 . 严格新建项目准入管理。加强区域、流域规划环评管理，强化对项目环评的指导和约束，逐步构建起以“三线一单”为空间管控基础、项目环评为环境准入把关、排污许可为企业运行守法依据的管理新框架，从源头预防环境污染和生态破坏。落实省、市统一要求，全县原则上禁止新增钢铁、电解铝、水泥、平板玻璃、传统煤化工（甲醇、合成氨）、焦化、铸造、铝用炭素、砖瓦窑、耐火材料等行业产能，原则上禁止新建燃料类煤气发生炉和 35 蒸吨／时及以下燃煤锅炉。严格落实钢铁、水泥、电解铝、玻璃等上级有关行业产能置换规定，新建涉气工业炉窑的建设项目，应进入园区，配套建设高效环保治理设施。</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5. 加快排污许可管理。深入实施固定污染源排污许可清理整顿工作，全面摸清2017-2019 年排污许可证核发的重点行业排污单位情况，核准固定污染源底数，清理无证排污单位，做到应发尽发。2020 年底前，所有固定污染源全部纳入排污许可管理。严格依证监管，规范排污行为，加大执法处罚力度，对无证排污单位，依法严厉查处。</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27. 强化工业企业污染治理成效。全面评估工业企业大气污染治理工作，2020 年 4月底前，组织工业企业完成 2019 年工业污染“六治理”任务自主验收备案工作，5 月底前，完成工业企业治理情况再排查和核查评估，通过鲁山县涉气污染源信息管理平台上传验收、核查评估资料，完成平台备案；6 月底前，将相关材料一式三份报县生态环境局备案。做好接受省、市生态环境厅现场调研和督察督办相关工作。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（十）提升监测监控能力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健全工业企业、机动车、施工工地等污染源监控系统，完善空气质量监测网络，提高监测监控能力，坚持依法科学治污。</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50.开展涉气排污单位污染治理设施用电监管。继续推进应急管控清单中排污单位用电监管设备安装和联网，管控清单内不能安装自动监控的排污单位要实现用电监管全覆盖、全联网，排污许可证、环评报告、应急管控清单中涉气的生产设施和污染治理设施均应独立安装用电监管设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本项目属于水泥制品业，不涉及《产业结构调整指导目录（2019 年本）》和《河南省部分工业行业淘汰落后生产工艺装备和产品目录》中限制淘汰类项目，不属于原则禁止新增产能的行业。</w:t>
            </w:r>
          </w:p>
          <w:p>
            <w:pPr>
              <w:pStyle w:val="18"/>
              <w:ind w:left="0" w:firstLine="480" w:firstLineChars="200"/>
              <w:rPr>
                <w:rFonts w:hint="eastAsia" w:ascii="Times New Roman" w:hAnsi="Times New Roman" w:eastAsia="黑体" w:cs="Times New Roman"/>
                <w:kern w:val="2"/>
                <w:sz w:val="24"/>
                <w:szCs w:val="24"/>
                <w:lang w:val="en-US" w:eastAsia="zh-CN" w:bidi="ar-SA"/>
              </w:rPr>
            </w:pPr>
            <w:r>
              <w:rPr>
                <w:rFonts w:hint="eastAsia" w:ascii="Times New Roman" w:hAnsi="Times New Roman" w:eastAsia="黑体" w:cs="Times New Roman"/>
                <w:kern w:val="2"/>
                <w:sz w:val="24"/>
                <w:szCs w:val="24"/>
                <w:lang w:val="en-US" w:eastAsia="zh-CN" w:bidi="ar-SA"/>
              </w:rPr>
              <w:t>十、本项目与郑万高铁的相符性分析</w:t>
            </w:r>
          </w:p>
          <w:p>
            <w:pPr>
              <w:pStyle w:val="18"/>
              <w:ind w:firstLine="480" w:firstLineChars="200"/>
              <w:rPr>
                <w:bCs/>
                <w:sz w:val="24"/>
                <w:szCs w:val="24"/>
              </w:rPr>
            </w:pPr>
            <w:r>
              <w:rPr>
                <w:rFonts w:hint="eastAsia"/>
                <w:bCs/>
                <w:sz w:val="24"/>
                <w:szCs w:val="24"/>
              </w:rPr>
              <w:t>2013年8月17日，国务院发布了《</w:t>
            </w:r>
            <w:r>
              <w:rPr>
                <w:bCs/>
                <w:sz w:val="24"/>
                <w:szCs w:val="24"/>
              </w:rPr>
              <w:t>铁路安全管理条例</w:t>
            </w:r>
            <w:r>
              <w:rPr>
                <w:rFonts w:hint="eastAsia"/>
                <w:bCs/>
                <w:sz w:val="24"/>
                <w:szCs w:val="24"/>
              </w:rPr>
              <w:t>》（</w:t>
            </w:r>
            <w:r>
              <w:rPr>
                <w:bCs/>
                <w:sz w:val="24"/>
                <w:szCs w:val="24"/>
              </w:rPr>
              <w:t>国务院令第639号</w:t>
            </w:r>
            <w:r>
              <w:rPr>
                <w:rFonts w:hint="eastAsia"/>
                <w:bCs/>
                <w:sz w:val="24"/>
                <w:szCs w:val="24"/>
              </w:rPr>
              <w:t>），该条例</w:t>
            </w:r>
            <w:r>
              <w:rPr>
                <w:bCs/>
                <w:sz w:val="24"/>
                <w:szCs w:val="24"/>
              </w:rPr>
              <w:t>第三十六条</w:t>
            </w:r>
            <w:r>
              <w:rPr>
                <w:rFonts w:hint="eastAsia"/>
                <w:bCs/>
                <w:sz w:val="24"/>
                <w:szCs w:val="24"/>
              </w:rPr>
              <w:t>规定：“</w:t>
            </w:r>
            <w:r>
              <w:rPr>
                <w:bCs/>
                <w:sz w:val="24"/>
                <w:szCs w:val="24"/>
              </w:rPr>
              <w:t>在电气化铁路附近从事排放</w:t>
            </w:r>
            <w:r>
              <w:rPr>
                <w:rFonts w:hint="eastAsia"/>
                <w:bCs/>
                <w:sz w:val="24"/>
                <w:szCs w:val="24"/>
              </w:rPr>
              <w:t>颗粒物</w:t>
            </w:r>
            <w:r>
              <w:rPr>
                <w:bCs/>
                <w:sz w:val="24"/>
                <w:szCs w:val="24"/>
              </w:rPr>
              <w:t>、烟尘及腐蚀性气体的生产活动，超过国家规定的排放标准，危及铁路运输安全的，由县级以上地方人民政府有关部门依法责令整改，消除安全隐患</w:t>
            </w:r>
            <w:r>
              <w:rPr>
                <w:rFonts w:hint="eastAsia"/>
                <w:bCs/>
                <w:sz w:val="24"/>
                <w:szCs w:val="24"/>
              </w:rPr>
              <w:t>”</w:t>
            </w:r>
            <w:r>
              <w:rPr>
                <w:bCs/>
                <w:sz w:val="24"/>
                <w:szCs w:val="24"/>
              </w:rPr>
              <w:t>。</w:t>
            </w:r>
          </w:p>
          <w:p>
            <w:pPr>
              <w:pStyle w:val="18"/>
              <w:keepNext w:val="0"/>
              <w:keepLines w:val="0"/>
              <w:pageBreakBefore w:val="0"/>
              <w:widowControl w:val="0"/>
              <w:kinsoku/>
              <w:wordWrap/>
              <w:overflowPunct/>
              <w:topLinePunct w:val="0"/>
              <w:autoSpaceDE w:val="0"/>
              <w:autoSpaceDN w:val="0"/>
              <w:bidi w:val="0"/>
              <w:adjustRightInd w:val="0"/>
              <w:snapToGrid/>
              <w:spacing w:line="520" w:lineRule="exact"/>
              <w:ind w:right="6" w:firstLine="480" w:firstLineChars="200"/>
              <w:textAlignment w:val="auto"/>
              <w:rPr>
                <w:rFonts w:hint="eastAsia"/>
                <w:bCs/>
                <w:color w:val="auto"/>
                <w:sz w:val="24"/>
                <w:szCs w:val="24"/>
                <w:lang w:eastAsia="zh-CN"/>
              </w:rPr>
            </w:pPr>
            <w:r>
              <w:rPr>
                <w:rFonts w:hint="eastAsia"/>
                <w:bCs/>
                <w:sz w:val="24"/>
                <w:szCs w:val="24"/>
              </w:rPr>
              <w:t>该条例第十条规定：铁路线路两侧应当设立铁路线路安全保护区</w:t>
            </w:r>
            <w:r>
              <w:rPr>
                <w:rFonts w:hint="eastAsia"/>
                <w:bCs/>
                <w:sz w:val="24"/>
                <w:szCs w:val="24"/>
                <w:lang w:eastAsia="zh-CN"/>
              </w:rPr>
              <w:t>。</w:t>
            </w:r>
            <w:r>
              <w:rPr>
                <w:rFonts w:hint="eastAsia"/>
                <w:bCs/>
                <w:sz w:val="24"/>
                <w:szCs w:val="24"/>
              </w:rPr>
              <w:t>铁路线路安全保护区的范围</w:t>
            </w:r>
            <w:r>
              <w:rPr>
                <w:rFonts w:hint="eastAsia"/>
                <w:bCs/>
                <w:sz w:val="24"/>
                <w:szCs w:val="24"/>
                <w:lang w:eastAsia="zh-CN"/>
              </w:rPr>
              <w:t>，</w:t>
            </w:r>
            <w:r>
              <w:rPr>
                <w:rFonts w:hint="eastAsia"/>
                <w:bCs/>
                <w:sz w:val="24"/>
                <w:szCs w:val="24"/>
              </w:rPr>
              <w:t>从铁路线路路堤坡脚、路堑坡顶或者铁路桥梁外侧起向外的距离分别为：</w:t>
            </w:r>
            <w:r>
              <w:rPr>
                <w:rFonts w:hint="eastAsia"/>
                <w:bCs/>
                <w:sz w:val="24"/>
                <w:szCs w:val="24"/>
              </w:rPr>
              <w:br w:type="textWrapping"/>
            </w:r>
            <w:r>
              <w:rPr>
                <w:rFonts w:hint="eastAsia"/>
                <w:bCs/>
                <w:sz w:val="24"/>
                <w:szCs w:val="24"/>
                <w:lang w:val="en-US" w:eastAsia="zh-CN"/>
              </w:rPr>
              <w:t xml:space="preserve"> </w:t>
            </w:r>
            <w:r>
              <w:rPr>
                <w:rFonts w:hint="eastAsia"/>
                <w:bCs/>
                <w:color w:val="auto"/>
                <w:sz w:val="24"/>
                <w:szCs w:val="24"/>
                <w:lang w:val="en-US" w:eastAsia="zh-CN"/>
              </w:rPr>
              <w:t xml:space="preserve"> </w:t>
            </w:r>
            <w:r>
              <w:rPr>
                <w:rFonts w:hint="eastAsia"/>
                <w:bCs/>
                <w:color w:val="auto"/>
                <w:sz w:val="24"/>
                <w:szCs w:val="24"/>
              </w:rPr>
              <w:t>（一）城市市区</w:t>
            </w:r>
            <w:r>
              <w:rPr>
                <w:rFonts w:hint="eastAsia"/>
                <w:bCs/>
                <w:color w:val="auto"/>
                <w:sz w:val="24"/>
                <w:szCs w:val="24"/>
                <w:lang w:eastAsia="zh-CN"/>
              </w:rPr>
              <w:t>，</w:t>
            </w:r>
            <w:r>
              <w:rPr>
                <w:rFonts w:hint="eastAsia"/>
                <w:bCs/>
                <w:color w:val="auto"/>
                <w:sz w:val="24"/>
                <w:szCs w:val="24"/>
              </w:rPr>
              <w:t>不少于8米； </w:t>
            </w:r>
            <w:r>
              <w:rPr>
                <w:rFonts w:hint="eastAsia"/>
                <w:bCs/>
                <w:color w:val="auto"/>
                <w:sz w:val="24"/>
                <w:szCs w:val="24"/>
              </w:rPr>
              <w:br w:type="textWrapping"/>
            </w:r>
            <w:r>
              <w:rPr>
                <w:rFonts w:hint="eastAsia"/>
                <w:bCs/>
                <w:color w:val="auto"/>
                <w:sz w:val="24"/>
                <w:szCs w:val="24"/>
                <w:lang w:val="en-US" w:eastAsia="zh-CN"/>
              </w:rPr>
              <w:t xml:space="preserve">  </w:t>
            </w:r>
            <w:r>
              <w:rPr>
                <w:rFonts w:hint="eastAsia"/>
                <w:bCs/>
                <w:color w:val="auto"/>
                <w:sz w:val="24"/>
                <w:szCs w:val="24"/>
              </w:rPr>
              <w:t>（二）城市郊区居民居住区</w:t>
            </w:r>
            <w:r>
              <w:rPr>
                <w:rFonts w:hint="eastAsia"/>
                <w:bCs/>
                <w:color w:val="auto"/>
                <w:sz w:val="24"/>
                <w:szCs w:val="24"/>
                <w:lang w:eastAsia="zh-CN"/>
              </w:rPr>
              <w:t>，</w:t>
            </w:r>
            <w:r>
              <w:rPr>
                <w:rFonts w:hint="eastAsia"/>
                <w:bCs/>
                <w:color w:val="auto"/>
                <w:sz w:val="24"/>
                <w:szCs w:val="24"/>
              </w:rPr>
              <w:t>不少于10米； </w:t>
            </w:r>
            <w:r>
              <w:rPr>
                <w:rFonts w:hint="eastAsia"/>
                <w:bCs/>
                <w:color w:val="auto"/>
                <w:sz w:val="24"/>
                <w:szCs w:val="24"/>
              </w:rPr>
              <w:br w:type="textWrapping"/>
            </w:r>
            <w:r>
              <w:rPr>
                <w:rFonts w:hint="eastAsia"/>
                <w:bCs/>
                <w:color w:val="auto"/>
                <w:sz w:val="24"/>
                <w:szCs w:val="24"/>
                <w:lang w:val="en-US" w:eastAsia="zh-CN"/>
              </w:rPr>
              <w:t xml:space="preserve">  </w:t>
            </w:r>
            <w:r>
              <w:rPr>
                <w:rFonts w:hint="eastAsia"/>
                <w:bCs/>
                <w:color w:val="auto"/>
                <w:sz w:val="24"/>
                <w:szCs w:val="24"/>
              </w:rPr>
              <w:t>（三）村镇居民居住区</w:t>
            </w:r>
            <w:r>
              <w:rPr>
                <w:rFonts w:hint="eastAsia"/>
                <w:bCs/>
                <w:color w:val="auto"/>
                <w:sz w:val="24"/>
                <w:szCs w:val="24"/>
                <w:lang w:eastAsia="zh-CN"/>
              </w:rPr>
              <w:t>，</w:t>
            </w:r>
            <w:r>
              <w:rPr>
                <w:rFonts w:hint="eastAsia"/>
                <w:bCs/>
                <w:color w:val="auto"/>
                <w:sz w:val="24"/>
                <w:szCs w:val="24"/>
              </w:rPr>
              <w:t>不少于12米； </w:t>
            </w:r>
            <w:r>
              <w:rPr>
                <w:rFonts w:hint="eastAsia"/>
                <w:bCs/>
                <w:color w:val="auto"/>
                <w:sz w:val="24"/>
                <w:szCs w:val="24"/>
              </w:rPr>
              <w:br w:type="textWrapping"/>
            </w:r>
            <w:r>
              <w:rPr>
                <w:rFonts w:hint="eastAsia"/>
                <w:bCs/>
                <w:color w:val="auto"/>
                <w:sz w:val="24"/>
                <w:szCs w:val="24"/>
                <w:lang w:val="en-US" w:eastAsia="zh-CN"/>
              </w:rPr>
              <w:t xml:space="preserve">  </w:t>
            </w:r>
            <w:r>
              <w:rPr>
                <w:rFonts w:hint="eastAsia"/>
                <w:bCs/>
                <w:color w:val="auto"/>
                <w:sz w:val="24"/>
                <w:szCs w:val="24"/>
              </w:rPr>
              <w:t>（四）其他地区</w:t>
            </w:r>
            <w:r>
              <w:rPr>
                <w:rFonts w:hint="eastAsia"/>
                <w:bCs/>
                <w:color w:val="auto"/>
                <w:sz w:val="24"/>
                <w:szCs w:val="24"/>
                <w:lang w:eastAsia="zh-CN"/>
              </w:rPr>
              <w:t>，</w:t>
            </w:r>
            <w:r>
              <w:rPr>
                <w:rFonts w:hint="eastAsia"/>
                <w:bCs/>
                <w:color w:val="auto"/>
                <w:sz w:val="24"/>
                <w:szCs w:val="24"/>
              </w:rPr>
              <w:t>不少于15米</w:t>
            </w:r>
            <w:r>
              <w:rPr>
                <w:rFonts w:hint="eastAsia"/>
                <w:bCs/>
                <w:color w:val="auto"/>
                <w:sz w:val="24"/>
                <w:szCs w:val="24"/>
                <w:lang w:eastAsia="zh-CN"/>
              </w:rPr>
              <w:t>。</w:t>
            </w:r>
          </w:p>
          <w:p>
            <w:pPr>
              <w:pStyle w:val="18"/>
              <w:keepNext w:val="0"/>
              <w:keepLines w:val="0"/>
              <w:pageBreakBefore w:val="0"/>
              <w:widowControl w:val="0"/>
              <w:kinsoku/>
              <w:wordWrap/>
              <w:overflowPunct/>
              <w:topLinePunct w:val="0"/>
              <w:autoSpaceDE w:val="0"/>
              <w:autoSpaceDN w:val="0"/>
              <w:bidi w:val="0"/>
              <w:adjustRightInd w:val="0"/>
              <w:snapToGrid/>
              <w:spacing w:line="520" w:lineRule="exact"/>
              <w:ind w:right="6" w:firstLine="480" w:firstLineChars="200"/>
              <w:textAlignment w:val="auto"/>
              <w:rPr>
                <w:rFonts w:hint="eastAsia"/>
                <w:bCs/>
                <w:color w:val="auto"/>
                <w:sz w:val="24"/>
                <w:szCs w:val="24"/>
                <w:lang w:eastAsia="zh-CN"/>
              </w:rPr>
            </w:pPr>
            <w:r>
              <w:rPr>
                <w:rFonts w:hint="eastAsia"/>
                <w:bCs/>
                <w:color w:val="auto"/>
                <w:sz w:val="24"/>
                <w:szCs w:val="24"/>
                <w:lang w:eastAsia="zh-CN"/>
              </w:rPr>
              <w:t>建筑退让铁路的规定：</w:t>
            </w:r>
          </w:p>
          <w:p>
            <w:pPr>
              <w:pStyle w:val="18"/>
              <w:keepNext w:val="0"/>
              <w:keepLines w:val="0"/>
              <w:pageBreakBefore w:val="0"/>
              <w:widowControl w:val="0"/>
              <w:kinsoku/>
              <w:wordWrap/>
              <w:overflowPunct/>
              <w:topLinePunct w:val="0"/>
              <w:autoSpaceDE w:val="0"/>
              <w:autoSpaceDN w:val="0"/>
              <w:bidi w:val="0"/>
              <w:adjustRightInd w:val="0"/>
              <w:snapToGrid/>
              <w:spacing w:line="520" w:lineRule="exact"/>
              <w:ind w:right="6" w:firstLine="480" w:firstLineChars="200"/>
              <w:textAlignment w:val="auto"/>
              <w:rPr>
                <w:rFonts w:hint="eastAsia"/>
                <w:bCs/>
                <w:color w:val="auto"/>
                <w:sz w:val="24"/>
                <w:szCs w:val="24"/>
                <w:lang w:eastAsia="zh-CN"/>
              </w:rPr>
            </w:pPr>
            <w:r>
              <w:rPr>
                <w:rFonts w:hint="eastAsia"/>
                <w:bCs/>
                <w:color w:val="auto"/>
                <w:sz w:val="24"/>
                <w:szCs w:val="24"/>
                <w:lang w:eastAsia="zh-CN"/>
              </w:rPr>
              <w:t>（一）建筑退让与最近一侧的铁路边轨距离，准轨干线≥30m；准轨支线、专用线≥20m；米轨≥15m；</w:t>
            </w:r>
          </w:p>
          <w:p>
            <w:pPr>
              <w:pStyle w:val="18"/>
              <w:keepNext w:val="0"/>
              <w:keepLines w:val="0"/>
              <w:pageBreakBefore w:val="0"/>
              <w:widowControl w:val="0"/>
              <w:kinsoku/>
              <w:wordWrap/>
              <w:overflowPunct/>
              <w:topLinePunct w:val="0"/>
              <w:autoSpaceDE w:val="0"/>
              <w:autoSpaceDN w:val="0"/>
              <w:bidi w:val="0"/>
              <w:adjustRightInd w:val="0"/>
              <w:snapToGrid/>
              <w:spacing w:line="520" w:lineRule="exact"/>
              <w:ind w:right="6" w:firstLine="480" w:firstLineChars="200"/>
              <w:textAlignment w:val="auto"/>
              <w:rPr>
                <w:rFonts w:hint="eastAsia"/>
                <w:bCs/>
                <w:color w:val="auto"/>
                <w:sz w:val="24"/>
                <w:szCs w:val="24"/>
                <w:lang w:eastAsia="zh-CN"/>
              </w:rPr>
            </w:pPr>
            <w:r>
              <w:rPr>
                <w:rFonts w:hint="eastAsia"/>
                <w:bCs/>
                <w:color w:val="auto"/>
                <w:sz w:val="24"/>
                <w:szCs w:val="24"/>
                <w:lang w:eastAsia="zh-CN"/>
              </w:rPr>
              <w:t>（二）围墙与铁路最近一侧边轨距离≥10m，围墙的高度≤2.5m；</w:t>
            </w:r>
          </w:p>
          <w:p>
            <w:pPr>
              <w:pStyle w:val="18"/>
              <w:keepNext w:val="0"/>
              <w:keepLines w:val="0"/>
              <w:pageBreakBefore w:val="0"/>
              <w:widowControl w:val="0"/>
              <w:kinsoku/>
              <w:wordWrap/>
              <w:overflowPunct/>
              <w:topLinePunct w:val="0"/>
              <w:autoSpaceDE w:val="0"/>
              <w:autoSpaceDN w:val="0"/>
              <w:bidi w:val="0"/>
              <w:adjustRightInd w:val="0"/>
              <w:snapToGrid/>
              <w:spacing w:line="520" w:lineRule="exact"/>
              <w:ind w:right="6" w:firstLine="480" w:firstLineChars="200"/>
              <w:textAlignment w:val="auto"/>
              <w:rPr>
                <w:rFonts w:hint="eastAsia"/>
                <w:bCs/>
                <w:color w:val="auto"/>
                <w:sz w:val="24"/>
                <w:szCs w:val="24"/>
                <w:lang w:eastAsia="zh-CN"/>
              </w:rPr>
            </w:pPr>
            <w:r>
              <w:rPr>
                <w:rFonts w:hint="eastAsia"/>
                <w:bCs/>
                <w:color w:val="auto"/>
                <w:sz w:val="24"/>
                <w:szCs w:val="24"/>
                <w:lang w:eastAsia="zh-CN"/>
              </w:rPr>
              <w:t>（三）高层建筑、高大构筑物（水塔、烟囱等）、危险品仓库和厂房与最近一侧的铁路边轨距离以及在铁路道口附近进行建设活动应当符合铁路管理的有关规定；</w:t>
            </w:r>
          </w:p>
          <w:p>
            <w:pPr>
              <w:pStyle w:val="18"/>
              <w:keepNext w:val="0"/>
              <w:keepLines w:val="0"/>
              <w:pageBreakBefore w:val="0"/>
              <w:widowControl w:val="0"/>
              <w:kinsoku/>
              <w:wordWrap/>
              <w:overflowPunct/>
              <w:topLinePunct w:val="0"/>
              <w:autoSpaceDE w:val="0"/>
              <w:autoSpaceDN w:val="0"/>
              <w:bidi w:val="0"/>
              <w:adjustRightInd w:val="0"/>
              <w:snapToGrid/>
              <w:spacing w:line="520" w:lineRule="exact"/>
              <w:ind w:right="6" w:firstLine="480" w:firstLineChars="200"/>
              <w:textAlignment w:val="auto"/>
              <w:rPr>
                <w:rFonts w:hint="eastAsia"/>
                <w:bCs/>
                <w:color w:val="auto"/>
                <w:sz w:val="24"/>
                <w:szCs w:val="24"/>
                <w:lang w:eastAsia="zh-CN"/>
              </w:rPr>
            </w:pPr>
            <w:r>
              <w:rPr>
                <w:rFonts w:hint="eastAsia"/>
                <w:bCs/>
                <w:color w:val="auto"/>
                <w:sz w:val="24"/>
                <w:szCs w:val="24"/>
                <w:lang w:eastAsia="zh-CN"/>
              </w:rPr>
              <w:t>（四）特殊路段隔离带宽度由城市规划行政主管部门会同铁路部门确定。也就是说，原则上新建铁路两侧20米范围内是不容许建房的，但既有住房可根据当地实际情况由铁路部门审定，未拆迁住房是不可能给与拆迁补偿的，但因新建铁路施工造成的房屋损坏，铁路承建单位应负赔偿责任。具体补偿条款根据房屋损坏认定书判定。</w:t>
            </w:r>
          </w:p>
          <w:p>
            <w:pPr>
              <w:pStyle w:val="18"/>
              <w:ind w:firstLine="480" w:firstLineChars="200"/>
              <w:rPr>
                <w:bCs/>
                <w:sz w:val="24"/>
                <w:szCs w:val="24"/>
              </w:rPr>
            </w:pPr>
            <w:r>
              <w:rPr>
                <w:rFonts w:hint="eastAsia"/>
                <w:bCs/>
                <w:sz w:val="24"/>
                <w:szCs w:val="24"/>
              </w:rPr>
              <w:t>郑万高速铁路在本项目西侧100m处经过</w:t>
            </w:r>
            <w:r>
              <w:rPr>
                <w:rFonts w:hint="eastAsia"/>
                <w:bCs/>
                <w:sz w:val="24"/>
                <w:szCs w:val="24"/>
                <w:lang w:eastAsia="zh-CN"/>
              </w:rPr>
              <w:t>，符合铁路安全距离要求</w:t>
            </w:r>
            <w:r>
              <w:rPr>
                <w:rFonts w:hint="eastAsia"/>
                <w:bCs/>
                <w:sz w:val="24"/>
                <w:szCs w:val="24"/>
              </w:rPr>
              <w:t>。</w:t>
            </w:r>
            <w:r>
              <w:rPr>
                <w:rFonts w:hint="eastAsia"/>
                <w:bCs/>
                <w:sz w:val="24"/>
                <w:szCs w:val="24"/>
                <w:lang w:eastAsia="zh-CN"/>
              </w:rPr>
              <w:t>同时</w:t>
            </w:r>
            <w:r>
              <w:rPr>
                <w:rFonts w:hint="eastAsia"/>
                <w:bCs/>
                <w:sz w:val="24"/>
                <w:szCs w:val="24"/>
              </w:rPr>
              <w:t>本项目对原料堆场进行全密闭，皮带输送机设置密闭皮带廊，</w:t>
            </w:r>
            <w:r>
              <w:rPr>
                <w:rFonts w:hint="eastAsia"/>
                <w:bCs/>
                <w:sz w:val="24"/>
                <w:szCs w:val="24"/>
                <w:lang w:eastAsia="zh-CN"/>
              </w:rPr>
              <w:t>、生产车间全封闭，</w:t>
            </w:r>
            <w:r>
              <w:rPr>
                <w:rFonts w:hint="eastAsia"/>
                <w:bCs/>
                <w:sz w:val="24"/>
                <w:szCs w:val="24"/>
              </w:rPr>
              <w:t>搅拌机配套设置袋式除尘器，</w:t>
            </w:r>
            <w:r>
              <w:rPr>
                <w:rFonts w:hint="eastAsia"/>
                <w:bCs/>
                <w:sz w:val="24"/>
                <w:szCs w:val="24"/>
                <w:lang w:eastAsia="zh-CN"/>
              </w:rPr>
              <w:t>厂</w:t>
            </w:r>
            <w:r>
              <w:rPr>
                <w:rFonts w:hint="eastAsia"/>
                <w:bCs/>
                <w:sz w:val="24"/>
                <w:szCs w:val="24"/>
              </w:rPr>
              <w:t>区地面进行硬化或绿化，颗粒物实现达标排放，满足《</w:t>
            </w:r>
            <w:r>
              <w:rPr>
                <w:bCs/>
                <w:sz w:val="24"/>
                <w:szCs w:val="24"/>
              </w:rPr>
              <w:t>铁路安全管理条例</w:t>
            </w:r>
            <w:r>
              <w:rPr>
                <w:rFonts w:hint="eastAsia"/>
                <w:bCs/>
                <w:sz w:val="24"/>
                <w:szCs w:val="24"/>
              </w:rPr>
              <w:t>》（</w:t>
            </w:r>
            <w:r>
              <w:rPr>
                <w:bCs/>
                <w:sz w:val="24"/>
                <w:szCs w:val="24"/>
              </w:rPr>
              <w:t>国务院令第639号</w:t>
            </w:r>
            <w:r>
              <w:rPr>
                <w:rFonts w:hint="eastAsia"/>
                <w:bCs/>
                <w:sz w:val="24"/>
                <w:szCs w:val="24"/>
              </w:rPr>
              <w:t>）的要求。</w:t>
            </w:r>
          </w:p>
          <w:p>
            <w:pPr>
              <w:pStyle w:val="18"/>
              <w:ind w:left="0" w:firstLine="480" w:firstLineChars="200"/>
              <w:rPr>
                <w:rFonts w:hint="eastAsia" w:ascii="Times New Roman" w:hAnsi="Times New Roman" w:eastAsia="黑体" w:cs="Times New Roman"/>
                <w:kern w:val="2"/>
                <w:sz w:val="24"/>
                <w:szCs w:val="24"/>
                <w:lang w:val="en-US" w:eastAsia="zh-CN" w:bidi="ar-SA"/>
              </w:rPr>
            </w:pPr>
            <w:r>
              <w:rPr>
                <w:rFonts w:hint="eastAsia" w:ascii="Times New Roman" w:hAnsi="Times New Roman" w:eastAsia="黑体" w:cs="Times New Roman"/>
                <w:kern w:val="2"/>
                <w:sz w:val="24"/>
                <w:szCs w:val="24"/>
                <w:lang w:val="en-US" w:eastAsia="zh-CN" w:bidi="ar-SA"/>
              </w:rPr>
              <w:t>十一、与《河南省2019年工业企业无组织排放治理方案》相关要求相符性</w:t>
            </w:r>
          </w:p>
          <w:p>
            <w:pPr>
              <w:pStyle w:val="28"/>
              <w:spacing w:beforeAutospacing="0" w:afterAutospacing="0" w:line="520" w:lineRule="exact"/>
              <w:ind w:firstLine="480" w:firstLineChars="200"/>
              <w:rPr>
                <w:rFonts w:ascii="Times New Roman" w:hAnsi="Times New Roman" w:cs="Times New Roman"/>
              </w:rPr>
            </w:pPr>
            <w:r>
              <w:rPr>
                <w:rFonts w:ascii="Times New Roman" w:hAnsi="Times New Roman" w:cs="Times New Roman"/>
              </w:rPr>
              <w:t>河南省生态环境厅发布了《河南省生态环境厅关于印发河南省工业大气污染防治6个专项方案的通知》（豫环文[2019]84号），本项目与《河南省2019年工业企业无组织排放治理方案》中其他行业无组织排放治理标准相符性分析如下：</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 xml:space="preserve">7    </w:t>
            </w:r>
            <w:r>
              <w:rPr>
                <w:rFonts w:eastAsia="黑体"/>
                <w:kern w:val="0"/>
                <w:sz w:val="24"/>
              </w:rPr>
              <w:t>项目与其他行业无组织排放治理标准相符性分析一览表</w:t>
            </w:r>
          </w:p>
          <w:tbl>
            <w:tblPr>
              <w:tblStyle w:val="32"/>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6"/>
              <w:gridCol w:w="3773"/>
              <w:gridCol w:w="2755"/>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项目</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序号</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相关要求</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本项目情况</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料场密闭治理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所有物料（包括原辅料、半成品、成品）进库存放，厂界内无露天堆放物料。料场安装喷干雾抑尘设施。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rPr>
                    <w:t>项</w:t>
                  </w:r>
                  <w:r>
                    <w:rPr>
                      <w:rFonts w:hint="eastAsia"/>
                      <w:bCs/>
                      <w:color w:val="auto"/>
                      <w:szCs w:val="21"/>
                    </w:rPr>
                    <w:t>目用骨料位于骨料仓内，水泥</w:t>
                  </w:r>
                  <w:r>
                    <w:rPr>
                      <w:rFonts w:hint="eastAsia"/>
                      <w:bCs/>
                      <w:color w:val="auto"/>
                      <w:szCs w:val="21"/>
                      <w:lang w:eastAsia="zh-CN"/>
                    </w:rPr>
                    <w:t>、粉煤灰</w:t>
                  </w:r>
                  <w:r>
                    <w:rPr>
                      <w:rFonts w:hint="eastAsia"/>
                      <w:bCs/>
                      <w:color w:val="auto"/>
                      <w:szCs w:val="21"/>
                    </w:rPr>
                    <w:t>等粉料均</w:t>
                  </w:r>
                  <w:r>
                    <w:rPr>
                      <w:rFonts w:hint="eastAsia"/>
                      <w:bCs/>
                      <w:color w:val="auto"/>
                      <w:szCs w:val="21"/>
                      <w:lang w:eastAsia="zh-CN"/>
                    </w:rPr>
                    <w:t>采用</w:t>
                  </w:r>
                  <w:r>
                    <w:rPr>
                      <w:rFonts w:hint="eastAsia"/>
                      <w:bCs/>
                      <w:color w:val="auto"/>
                      <w:szCs w:val="21"/>
                    </w:rPr>
                    <w:t>罐仓储存。厂界内无露天堆放物料。</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密闭料场必须覆盖所有堆场料区（堆放区、工作区和主通道区）。</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项目均在车间内生产，其堆放区、工作区和主通道区等堆场料区全封闭</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车间、料库四面密闭，通道口安装卷帘门、推拉门等封闭性良好且便于开关的硬质门，在无车辆出入时将门关闭，保证空气合理流动不产生湍流。</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lang w:eastAsia="zh-CN"/>
                    </w:rPr>
                    <w:t>车</w:t>
                  </w:r>
                  <w:r>
                    <w:rPr>
                      <w:rFonts w:hint="eastAsia"/>
                      <w:bCs/>
                      <w:szCs w:val="21"/>
                    </w:rPr>
                    <w:t>间、料库四面密闭，通道口安装卷帘门，在无车辆出入时将门关闭，保证空气合理流动不产生湍流。</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4</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所有地面完成硬化，并保证除物料堆放区域外没有明显积尘。</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rPr>
                    <w:t>项目建成后</w:t>
                  </w:r>
                  <w:r>
                    <w:rPr>
                      <w:rFonts w:ascii="宋体" w:hAnsi="宋体" w:cs="宋体"/>
                      <w:szCs w:val="21"/>
                    </w:rPr>
                    <w:t>所有地面硬化，并保证除物料堆放区域外没有明显积尘。</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5</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每个下料口设置独立集气罩，配套的除尘设施不与其他工序混用。</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ascii="宋体" w:hAnsi="宋体" w:cs="宋体"/>
                      <w:szCs w:val="21"/>
                    </w:rPr>
                    <w:t>每个下料口设置独立集气</w:t>
                  </w:r>
                  <w:r>
                    <w:rPr>
                      <w:rFonts w:hint="eastAsia" w:ascii="宋体" w:hAnsi="宋体" w:cs="宋体"/>
                      <w:szCs w:val="21"/>
                    </w:rPr>
                    <w:t>系统，</w:t>
                  </w:r>
                  <w:r>
                    <w:rPr>
                      <w:rFonts w:ascii="宋体" w:hAnsi="宋体" w:cs="宋体"/>
                      <w:szCs w:val="21"/>
                    </w:rPr>
                    <w:t>配套的除尘设施不与其他工序混用。</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6</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厂房车间各生产工序须功能区化，各功能区安装固定的喷干雾抑尘装置。</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厂房车间</w:t>
                  </w:r>
                  <w:r>
                    <w:rPr>
                      <w:rFonts w:hint="eastAsia"/>
                      <w:szCs w:val="21"/>
                    </w:rPr>
                    <w:t>内</w:t>
                  </w:r>
                  <w:r>
                    <w:rPr>
                      <w:szCs w:val="21"/>
                    </w:rPr>
                    <w:t>各生产工序功能区化，</w:t>
                  </w:r>
                  <w:r>
                    <w:rPr>
                      <w:rFonts w:hint="eastAsia"/>
                      <w:szCs w:val="21"/>
                    </w:rPr>
                    <w:t>密闭料场</w:t>
                  </w:r>
                  <w:r>
                    <w:rPr>
                      <w:szCs w:val="21"/>
                    </w:rPr>
                    <w:t>安装固定的喷干雾抑尘装置。</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7</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厂区出口应安装车辆冲洗装置，保证出场车辆车轮车身干净、运行不起尘。</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厂区出入口</w:t>
                  </w:r>
                  <w:r>
                    <w:rPr>
                      <w:szCs w:val="21"/>
                    </w:rPr>
                    <w:t>安装车辆冲洗装置，保证出场车辆车轮车身干净、运行不起尘。</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物料输送环节治理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散状物料采用封闭式输送方式，皮带输送机受料点、卸料点应设置密闭罩，并配备除尘设施。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散状物料采用封闭式输送方式，皮带输送机受料点、卸料点设置密闭罩，并配备除尘设施。</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皮带输送机或物料提升机需在密闭廊道内运行，并在所有落料位置设置集尘装置及配备除尘系统。</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color w:val="auto"/>
                      <w:szCs w:val="21"/>
                      <w:lang w:eastAsia="zh-CN"/>
                    </w:rPr>
                    <w:t>皮带输送机</w:t>
                  </w:r>
                  <w:r>
                    <w:rPr>
                      <w:color w:val="auto"/>
                      <w:szCs w:val="21"/>
                    </w:rPr>
                    <w:t>在密</w:t>
                  </w:r>
                  <w:r>
                    <w:rPr>
                      <w:szCs w:val="21"/>
                    </w:rPr>
                    <w:t>闭廊道内运行，并在所有落料位置设置集尘装置及配备除尘系统。</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运输车辆装载高度最高点不得超过车辆槽帮上沿40厘米，两侧边缘应当低于槽帮上缘10厘米，车斗应采用苫布覆盖，苫布边缘至少要遮住槽帮上沿以下15厘米，禁止厂内露天转运散状物料。</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运输车辆装载高度最高点不得超过车辆槽帮上沿40厘米，两侧边缘应当低于槽帮上缘10厘米，车斗应采用苫布覆盖，苫布边缘至少要遮住槽帮上沿以下15厘米，禁止厂内露天转运散状物料。</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4</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除尘器卸灰不直接卸落到地面，卸灰区封闭。除尘灰采用气力输送、罐车等密闭方式运输；采用非密闭方式运输的，车辆应苫盖，装卸车时应采取加湿等措施抑尘。</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除尘器卸灰不直接卸落到地面，卸灰区封闭。除尘灰采用气力输送、罐车等密闭方式运输</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生产环节治理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物料上料、破碎、筛分、混料等生产过程中的产尘点应在封闭的厂房内进行二次封闭，并安装集气设施和除尘设施。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color w:val="auto"/>
                      <w:szCs w:val="21"/>
                    </w:rPr>
                    <w:t>物料上料安装集气设施和除尘设施。</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在生产过程中的产生VOC</w:t>
                  </w:r>
                  <w:r>
                    <w:rPr>
                      <w:szCs w:val="21"/>
                      <w:vertAlign w:val="subscript"/>
                    </w:rPr>
                    <w:t>S</w:t>
                  </w:r>
                  <w:r>
                    <w:rPr>
                      <w:szCs w:val="21"/>
                    </w:rPr>
                    <w:t>的工序应在封闭的厂房内进行二次封闭，并安装集气设施和VOC</w:t>
                  </w:r>
                  <w:r>
                    <w:rPr>
                      <w:szCs w:val="21"/>
                      <w:vertAlign w:val="subscript"/>
                    </w:rPr>
                    <w:t>S</w:t>
                  </w:r>
                  <w:r>
                    <w:rPr>
                      <w:szCs w:val="21"/>
                    </w:rPr>
                    <w:t>处理设施。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其他方面：禁止生产车间内散放原料，需采用全封闭式/地下料仓，并配备完备的废气收集和处理系统，生产环节必须在密闭良好的车间内运行。</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设置独立的全封闭料场</w:t>
                  </w:r>
                  <w:r>
                    <w:rPr>
                      <w:szCs w:val="21"/>
                    </w:rPr>
                    <w:t>，并配备完备的废气收集和处理系统，生产环节均在密闭良好的车间内运行。</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厂区、车辆治理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厂区道路硬化，平整无破损，无积尘，厂区无裸露空地，闲置裸露空地绿化。</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项目所在厂区道路硬化，平整无破损，无积尘，厂区无裸露空地，闲置裸露空地绿化。</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对厂区道路定期洒水清扫。</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项目所在厂区道路有定期洒水清扫。</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企业出厂口处配备高压清洗装置对所有车辆车轮、底盘进行冲洗，严禁带泥上路。洗车平台四周应设置洗车废水收集防治设施。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企业出厂口处配备高压清洗装置对所有车辆车轮、底盘进行冲洗，严禁带泥上路。洗车平台四周应设置洗车废水收集防治设施。</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建设完善监测系统</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因企制宜安装视频、空气微站、降尘缸、TSP（总悬浮颗粒物）等监控设施。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安装在线监测、监控和空气质量监测等综合监控信息平台，主要排放数据等应在企业显眼位置随时公开。</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w:t>
                  </w:r>
                </w:p>
              </w:tc>
            </w:tr>
          </w:tbl>
          <w:p>
            <w:pPr>
              <w:pStyle w:val="28"/>
              <w:spacing w:beforeAutospacing="0" w:afterAutospacing="0" w:line="520" w:lineRule="exact"/>
              <w:ind w:firstLine="480" w:firstLineChars="200"/>
              <w:rPr>
                <w:rFonts w:ascii="Times New Roman" w:hAnsi="Times New Roman" w:cs="Times New Roman"/>
              </w:rPr>
            </w:pPr>
            <w:r>
              <w:rPr>
                <w:rFonts w:ascii="Times New Roman" w:hAnsi="Times New Roman" w:cs="Times New Roman"/>
              </w:rPr>
              <w:t>综上，本项目建设符合《河南省2019年工业企业无组织排放治理方案》中其他行业无组织排放治理标准要求。</w:t>
            </w:r>
          </w:p>
          <w:p>
            <w:pPr>
              <w:pStyle w:val="28"/>
              <w:spacing w:beforeAutospacing="0" w:afterAutospacing="0" w:line="520" w:lineRule="exact"/>
              <w:rPr>
                <w:rFonts w:ascii="Times New Roman" w:hAnsi="Times New Roman" w:cs="Times New Roman"/>
              </w:rPr>
            </w:pPr>
          </w:p>
        </w:tc>
      </w:tr>
    </w:tbl>
    <w:p>
      <w:pPr>
        <w:spacing w:line="360" w:lineRule="auto"/>
        <w:rPr>
          <w:rFonts w:eastAsia="黑体"/>
          <w:b/>
          <w:sz w:val="30"/>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环境质量状况</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946" w:type="dxa"/>
            <w:tcBorders>
              <w:bottom w:val="single" w:color="auto" w:sz="6" w:space="0"/>
            </w:tcBorders>
            <w:noWrap/>
          </w:tcPr>
          <w:p>
            <w:pPr>
              <w:spacing w:line="520" w:lineRule="exact"/>
              <w:rPr>
                <w:b/>
                <w:sz w:val="24"/>
              </w:rPr>
            </w:pPr>
            <w:r>
              <w:rPr>
                <w:b/>
                <w:sz w:val="24"/>
              </w:rPr>
              <w:t>建设项目所在地区域环境质量现状及主要环境问题(环境空气、地面水、地下水、声环境、生态环境等)</w:t>
            </w:r>
          </w:p>
          <w:p>
            <w:pPr>
              <w:spacing w:line="520" w:lineRule="exact"/>
              <w:ind w:firstLine="480" w:firstLineChars="200"/>
              <w:rPr>
                <w:rFonts w:eastAsia="黑体"/>
                <w:sz w:val="24"/>
              </w:rPr>
            </w:pPr>
            <w:r>
              <w:rPr>
                <w:rFonts w:eastAsia="黑体"/>
                <w:sz w:val="24"/>
              </w:rPr>
              <w:t>一、环境空气</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根据环境空气质量功能区划分，项目所在地为二类功能区。环境空气质量执行《环境空气质量标准》（GB3095-2012）中规定的二级标准。本次环境空气质量现状引用河南省城市环境空气质量自动监控中对鲁山县的监测数据，监测时间为201</w:t>
            </w:r>
            <w:r>
              <w:rPr>
                <w:rFonts w:hint="default" w:ascii="Times New Roman" w:hAnsi="Times New Roman" w:cs="Times New Roman"/>
                <w:bCs/>
                <w:sz w:val="24"/>
                <w:lang w:val="en-US" w:eastAsia="zh-CN"/>
              </w:rPr>
              <w:t>9</w:t>
            </w:r>
            <w:r>
              <w:rPr>
                <w:rFonts w:hint="default" w:ascii="Times New Roman" w:hAnsi="Times New Roman" w:cs="Times New Roman"/>
                <w:bCs/>
                <w:sz w:val="24"/>
              </w:rPr>
              <w:t>年</w:t>
            </w:r>
            <w:r>
              <w:rPr>
                <w:rFonts w:hint="default" w:ascii="Times New Roman" w:hAnsi="Times New Roman" w:cs="Times New Roman"/>
                <w:bCs/>
                <w:sz w:val="24"/>
                <w:lang w:val="en-US" w:eastAsia="zh-CN"/>
              </w:rPr>
              <w:t>01月~2019年12月</w:t>
            </w:r>
            <w:r>
              <w:rPr>
                <w:rFonts w:hint="default" w:ascii="Times New Roman" w:hAnsi="Times New Roman" w:cs="Times New Roman"/>
                <w:bCs/>
                <w:sz w:val="24"/>
              </w:rPr>
              <w:t>，监测因子为SO</w:t>
            </w:r>
            <w:r>
              <w:rPr>
                <w:rFonts w:hint="default" w:ascii="Times New Roman" w:hAnsi="Times New Roman" w:cs="Times New Roman"/>
                <w:bCs/>
                <w:sz w:val="24"/>
                <w:vertAlign w:val="subscript"/>
              </w:rPr>
              <w:t>2</w:t>
            </w:r>
            <w:r>
              <w:rPr>
                <w:rFonts w:hint="default" w:ascii="Times New Roman" w:hAnsi="Times New Roman" w:cs="Times New Roman"/>
                <w:bCs/>
                <w:sz w:val="24"/>
              </w:rPr>
              <w:t>、NO</w:t>
            </w:r>
            <w:r>
              <w:rPr>
                <w:rFonts w:hint="default" w:ascii="Times New Roman" w:hAnsi="Times New Roman" w:cs="Times New Roman"/>
                <w:bCs/>
                <w:sz w:val="24"/>
                <w:vertAlign w:val="subscript"/>
              </w:rPr>
              <w:t>2</w:t>
            </w:r>
            <w:r>
              <w:rPr>
                <w:rFonts w:hint="default" w:ascii="Times New Roman" w:hAnsi="Times New Roman" w:cs="Times New Roman"/>
                <w:bCs/>
                <w:sz w:val="24"/>
              </w:rPr>
              <w:t>、PM</w:t>
            </w:r>
            <w:r>
              <w:rPr>
                <w:rFonts w:hint="default" w:ascii="Times New Roman" w:hAnsi="Times New Roman" w:cs="Times New Roman"/>
                <w:bCs/>
                <w:sz w:val="24"/>
                <w:vertAlign w:val="subscript"/>
              </w:rPr>
              <w:t>10</w:t>
            </w:r>
            <w:r>
              <w:rPr>
                <w:rFonts w:hint="default" w:ascii="Times New Roman" w:hAnsi="Times New Roman" w:cs="Times New Roman"/>
                <w:bCs/>
                <w:sz w:val="24"/>
              </w:rPr>
              <w:t>、PM</w:t>
            </w:r>
            <w:r>
              <w:rPr>
                <w:rFonts w:hint="default" w:ascii="Times New Roman" w:hAnsi="Times New Roman" w:cs="Times New Roman"/>
                <w:bCs/>
                <w:sz w:val="24"/>
                <w:vertAlign w:val="subscript"/>
              </w:rPr>
              <w:t>2.5</w:t>
            </w:r>
            <w:r>
              <w:rPr>
                <w:rFonts w:hint="default" w:ascii="Times New Roman" w:hAnsi="Times New Roman" w:cs="Times New Roman"/>
                <w:bCs/>
                <w:sz w:val="24"/>
              </w:rPr>
              <w:t>、CO、O</w:t>
            </w:r>
            <w:r>
              <w:rPr>
                <w:rFonts w:hint="default" w:ascii="Times New Roman" w:hAnsi="Times New Roman" w:cs="Times New Roman"/>
                <w:bCs/>
                <w:sz w:val="24"/>
                <w:vertAlign w:val="subscript"/>
              </w:rPr>
              <w:t>3</w:t>
            </w:r>
            <w:r>
              <w:rPr>
                <w:rFonts w:hint="default" w:ascii="Times New Roman" w:hAnsi="Times New Roman" w:cs="Times New Roman"/>
                <w:bCs/>
                <w:sz w:val="24"/>
              </w:rPr>
              <w:t>共6项，环境空气质量常规监测数据统计结果见下表。</w:t>
            </w:r>
          </w:p>
          <w:p>
            <w:pPr>
              <w:pStyle w:val="13"/>
              <w:ind w:firstLine="1200" w:firstLineChars="500"/>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8</w:t>
            </w:r>
            <w:r>
              <w:rPr>
                <w:rFonts w:hint="default" w:ascii="Times New Roman" w:hAnsi="Times New Roman" w:eastAsia="黑体" w:cs="Times New Roman"/>
                <w:bCs/>
                <w:sz w:val="24"/>
                <w:szCs w:val="24"/>
              </w:rPr>
              <w:t xml:space="preserve">               常规环境空气质量监测数据</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215"/>
              <w:gridCol w:w="1605"/>
              <w:gridCol w:w="1661"/>
              <w:gridCol w:w="1559"/>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监测点位</w:t>
                  </w: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监测因子</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取样时间</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监测结果</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标准限值</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7" w:hRule="atLeast"/>
                <w:jc w:val="center"/>
              </w:trPr>
              <w:tc>
                <w:tcPr>
                  <w:tcW w:w="1155" w:type="dxa"/>
                  <w:vMerge w:val="restart"/>
                  <w:tcBorders>
                    <w:top w:val="nil"/>
                    <w:left w:val="single" w:color="auto" w:sz="4" w:space="0"/>
                    <w:bottom w:val="single" w:color="auto" w:sz="4" w:space="0"/>
                    <w:right w:val="single" w:color="auto" w:sz="4" w:space="0"/>
                  </w:tcBorders>
                  <w:noWrap w:val="0"/>
                  <w:vAlign w:val="center"/>
                </w:tcPr>
                <w:p>
                  <w:pPr>
                    <w:pStyle w:val="18"/>
                    <w:spacing w:before="0" w:line="240" w:lineRule="auto"/>
                    <w:ind w:left="0" w:right="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鲁山县</w:t>
                  </w:r>
                </w:p>
                <w:p>
                  <w:pPr>
                    <w:pStyle w:val="18"/>
                    <w:spacing w:before="0" w:after="100" w:afterAutospacing="1" w:line="240" w:lineRule="auto"/>
                    <w:ind w:left="0" w:right="0"/>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SO</w:t>
                  </w:r>
                  <w:r>
                    <w:rPr>
                      <w:rFonts w:hint="default" w:ascii="Times New Roman" w:hAnsi="Times New Roman" w:cs="Times New Roman"/>
                      <w:bCs/>
                      <w:color w:val="000000"/>
                      <w:sz w:val="21"/>
                      <w:szCs w:val="21"/>
                      <w:vertAlign w:val="subscript"/>
                    </w:rPr>
                    <w:t>2</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11</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60ug/m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NO</w:t>
                  </w:r>
                  <w:r>
                    <w:rPr>
                      <w:rFonts w:hint="default" w:ascii="Times New Roman" w:hAnsi="Times New Roman" w:cs="Times New Roman"/>
                      <w:bCs/>
                      <w:color w:val="000000"/>
                      <w:sz w:val="21"/>
                      <w:szCs w:val="21"/>
                      <w:vertAlign w:val="subscript"/>
                    </w:rPr>
                    <w:t>2</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28</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10</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98</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70ug/m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2.5</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46</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35ug/m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O</w:t>
                  </w:r>
                  <w:r>
                    <w:rPr>
                      <w:rFonts w:hint="default" w:ascii="Times New Roman" w:hAnsi="Times New Roman" w:cs="Times New Roman"/>
                      <w:bCs/>
                      <w:color w:val="000000"/>
                      <w:sz w:val="21"/>
                      <w:szCs w:val="21"/>
                      <w:vertAlign w:val="subscript"/>
                    </w:rPr>
                    <w:t>3</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line="240" w:lineRule="auto"/>
                    <w:ind w:left="9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日最大8h平均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191</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160ug/m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CO</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24h平均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1.485</w:t>
                  </w:r>
                  <w:r>
                    <w:rPr>
                      <w:rFonts w:hint="default" w:ascii="Times New Roman" w:hAnsi="Times New Roman" w:cs="Times New Roman"/>
                      <w:bCs/>
                      <w:color w:val="000000"/>
                      <w:sz w:val="21"/>
                      <w:szCs w:val="21"/>
                    </w:rPr>
                    <w:t>mg/m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4mg/m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bl>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由监测结果可知，调查周期内项目所在区域PM</w:t>
            </w:r>
            <w:r>
              <w:rPr>
                <w:rFonts w:hint="default" w:ascii="Times New Roman" w:hAnsi="Times New Roman" w:cs="Times New Roman"/>
                <w:bCs/>
                <w:sz w:val="24"/>
                <w:vertAlign w:val="subscript"/>
              </w:rPr>
              <w:t>2.5</w:t>
            </w:r>
            <w:r>
              <w:rPr>
                <w:rFonts w:hint="default" w:ascii="Times New Roman" w:hAnsi="Times New Roman" w:cs="Times New Roman"/>
                <w:bCs/>
                <w:sz w:val="24"/>
              </w:rPr>
              <w:t>、PM</w:t>
            </w:r>
            <w:r>
              <w:rPr>
                <w:rFonts w:hint="default" w:ascii="Times New Roman" w:hAnsi="Times New Roman" w:cs="Times New Roman"/>
                <w:bCs/>
                <w:sz w:val="24"/>
                <w:vertAlign w:val="subscript"/>
              </w:rPr>
              <w:t>10</w:t>
            </w:r>
            <w:r>
              <w:rPr>
                <w:rFonts w:hint="default" w:ascii="Times New Roman" w:hAnsi="Times New Roman" w:cs="Times New Roman"/>
                <w:bCs/>
                <w:sz w:val="24"/>
              </w:rPr>
              <w:t>年均浓度未满足《环境空气质量标准》（GB3095-2012）中的二级标准限值，属于非达标区域。</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随着《平顶山市2020 年大气污染防治攻坚战实施方案》</w:t>
            </w:r>
            <w:r>
              <w:rPr>
                <w:rFonts w:hint="eastAsia" w:ascii="Times New Roman" w:hAnsi="Times New Roman" w:cs="Times New Roman"/>
                <w:bCs/>
                <w:sz w:val="24"/>
                <w:lang w:eastAsia="zh-CN"/>
              </w:rPr>
              <w:t>的实施</w:t>
            </w:r>
            <w:r>
              <w:rPr>
                <w:rFonts w:hint="default" w:ascii="Times New Roman" w:hAnsi="Times New Roman" w:cs="Times New Roman"/>
                <w:bCs/>
                <w:sz w:val="24"/>
              </w:rPr>
              <w:t>，通过采取削减煤炭消费总量，构建全区清洁取暖体系，开展工业燃煤设施拆改，推进燃煤锅炉综合整治，推进燃煤锅炉综合整治，强化重点工业企业无组织排放治理，加强物料堆场，施工工地等管理，切实减少细颗粒物产生和排放，强化挥发性有机物（VOCs）污染防治等措施，改善当地环境质量，使空气质量将逐渐转好。</w:t>
            </w:r>
          </w:p>
          <w:p>
            <w:pPr>
              <w:spacing w:line="520" w:lineRule="exact"/>
              <w:ind w:firstLine="480" w:firstLineChars="200"/>
              <w:rPr>
                <w:rFonts w:eastAsia="黑体"/>
                <w:sz w:val="24"/>
              </w:rPr>
            </w:pPr>
            <w:r>
              <w:rPr>
                <w:rFonts w:eastAsia="黑体"/>
                <w:sz w:val="24"/>
              </w:rPr>
              <w:t>二、水环境</w:t>
            </w:r>
          </w:p>
          <w:p>
            <w:pPr>
              <w:spacing w:line="360" w:lineRule="auto"/>
              <w:ind w:firstLine="480" w:firstLineChars="200"/>
              <w:rPr>
                <w:rFonts w:ascii="黑体" w:hAnsi="黑体" w:eastAsia="黑体" w:cs="黑体"/>
                <w:sz w:val="22"/>
                <w:szCs w:val="22"/>
              </w:rPr>
            </w:pPr>
            <w:r>
              <w:rPr>
                <w:rFonts w:hint="eastAsia"/>
                <w:sz w:val="24"/>
                <w:szCs w:val="20"/>
              </w:rPr>
              <w:t>根据地表水功能区划要求，澎河定位为</w:t>
            </w:r>
            <w:r>
              <w:rPr>
                <w:rFonts w:hint="eastAsia"/>
                <w:sz w:val="24"/>
                <w:szCs w:val="20"/>
                <w:lang w:val="zh-CN"/>
              </w:rPr>
              <w:t>III</w:t>
            </w:r>
            <w:r>
              <w:rPr>
                <w:rFonts w:hint="eastAsia"/>
                <w:sz w:val="24"/>
                <w:szCs w:val="20"/>
              </w:rPr>
              <w:t>类水体。</w:t>
            </w:r>
            <w:r>
              <w:rPr>
                <w:rFonts w:hint="eastAsia"/>
                <w:sz w:val="24"/>
              </w:rPr>
              <w:t>项目所在区域属于澎河流域。</w:t>
            </w:r>
            <w:r>
              <w:rPr>
                <w:sz w:val="24"/>
              </w:rPr>
              <w:t>本次评价采用平顶山市201</w:t>
            </w:r>
            <w:r>
              <w:rPr>
                <w:rFonts w:hint="eastAsia"/>
                <w:sz w:val="24"/>
                <w:lang w:val="en-US" w:eastAsia="zh-CN"/>
              </w:rPr>
              <w:t>9</w:t>
            </w:r>
            <w:r>
              <w:rPr>
                <w:sz w:val="24"/>
              </w:rPr>
              <w:t>年市控地表水监测数据，监测断面位于</w:t>
            </w:r>
            <w:r>
              <w:rPr>
                <w:rFonts w:hint="eastAsia"/>
                <w:sz w:val="24"/>
              </w:rPr>
              <w:t>G311国道</w:t>
            </w:r>
            <w:r>
              <w:rPr>
                <w:sz w:val="24"/>
              </w:rPr>
              <w:t>澎河大桥下游2</w:t>
            </w:r>
            <w:r>
              <w:rPr>
                <w:rFonts w:hint="eastAsia"/>
                <w:sz w:val="24"/>
              </w:rPr>
              <w:t>km</w:t>
            </w:r>
            <w:r>
              <w:rPr>
                <w:sz w:val="24"/>
              </w:rPr>
              <w:t>处澎河贾寨</w:t>
            </w:r>
            <w:r>
              <w:rPr>
                <w:rFonts w:hint="eastAsia"/>
                <w:sz w:val="24"/>
              </w:rPr>
              <w:t>（本项目东北2.3km处）</w:t>
            </w:r>
            <w:r>
              <w:rPr>
                <w:sz w:val="24"/>
              </w:rPr>
              <w:t>。监测项目有pH、COD、BOD</w:t>
            </w:r>
            <w:r>
              <w:rPr>
                <w:sz w:val="24"/>
                <w:vertAlign w:val="subscript"/>
              </w:rPr>
              <w:t>5</w:t>
            </w:r>
            <w:r>
              <w:rPr>
                <w:sz w:val="24"/>
              </w:rPr>
              <w:t>、NH</w:t>
            </w:r>
            <w:r>
              <w:rPr>
                <w:sz w:val="24"/>
                <w:vertAlign w:val="subscript"/>
              </w:rPr>
              <w:t>3</w:t>
            </w:r>
            <w:r>
              <w:rPr>
                <w:sz w:val="24"/>
              </w:rPr>
              <w:t>-N。监测结果及单因子指数指标值计算结果见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9</w:t>
            </w:r>
            <w:r>
              <w:rPr>
                <w:rFonts w:hint="eastAsia" w:eastAsia="黑体"/>
                <w:kern w:val="0"/>
                <w:sz w:val="24"/>
                <w:lang w:val="zh-CN"/>
              </w:rPr>
              <w:t xml:space="preserve"> </w:t>
            </w:r>
            <w:r>
              <w:rPr>
                <w:rFonts w:hint="eastAsia" w:eastAsia="黑体"/>
                <w:kern w:val="0"/>
                <w:sz w:val="24"/>
                <w:lang w:val="en-US" w:eastAsia="zh-CN"/>
              </w:rPr>
              <w:t xml:space="preserve">            </w:t>
            </w:r>
            <w:r>
              <w:rPr>
                <w:rFonts w:hint="eastAsia" w:eastAsia="黑体"/>
                <w:kern w:val="0"/>
                <w:sz w:val="24"/>
                <w:lang w:val="zh-CN"/>
              </w:rPr>
              <w:t>监测评价结果及评价表   单位：mg/L</w:t>
            </w:r>
          </w:p>
          <w:tbl>
            <w:tblPr>
              <w:tblStyle w:val="32"/>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926"/>
              <w:gridCol w:w="1388"/>
              <w:gridCol w:w="1371"/>
              <w:gridCol w:w="1336"/>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l2br w:val="nil"/>
                    <w:tr2bl w:val="nil"/>
                  </w:tcBorders>
                  <w:noWrap/>
                  <w:vAlign w:val="center"/>
                </w:tcPr>
                <w:p>
                  <w:pPr>
                    <w:jc w:val="center"/>
                    <w:rPr>
                      <w:sz w:val="21"/>
                      <w:szCs w:val="21"/>
                    </w:rPr>
                  </w:pPr>
                  <w:r>
                    <w:rPr>
                      <w:sz w:val="21"/>
                      <w:szCs w:val="21"/>
                    </w:rPr>
                    <w:t>断面位置</w:t>
                  </w:r>
                </w:p>
              </w:tc>
              <w:tc>
                <w:tcPr>
                  <w:tcW w:w="1926" w:type="dxa"/>
                  <w:tcBorders>
                    <w:tl2br w:val="nil"/>
                    <w:tr2bl w:val="nil"/>
                  </w:tcBorders>
                  <w:noWrap/>
                  <w:vAlign w:val="center"/>
                </w:tcPr>
                <w:p>
                  <w:pPr>
                    <w:jc w:val="center"/>
                    <w:rPr>
                      <w:sz w:val="21"/>
                      <w:szCs w:val="21"/>
                    </w:rPr>
                  </w:pPr>
                  <w:r>
                    <w:rPr>
                      <w:sz w:val="21"/>
                      <w:szCs w:val="21"/>
                    </w:rPr>
                    <w:t>项目</w:t>
                  </w:r>
                </w:p>
              </w:tc>
              <w:tc>
                <w:tcPr>
                  <w:tcW w:w="1388" w:type="dxa"/>
                  <w:tcBorders>
                    <w:tl2br w:val="nil"/>
                    <w:tr2bl w:val="nil"/>
                  </w:tcBorders>
                  <w:noWrap/>
                  <w:vAlign w:val="center"/>
                </w:tcPr>
                <w:p>
                  <w:pPr>
                    <w:jc w:val="center"/>
                    <w:rPr>
                      <w:sz w:val="21"/>
                      <w:szCs w:val="21"/>
                    </w:rPr>
                  </w:pPr>
                  <w:r>
                    <w:rPr>
                      <w:sz w:val="21"/>
                      <w:szCs w:val="21"/>
                    </w:rPr>
                    <w:t>pH</w:t>
                  </w:r>
                </w:p>
              </w:tc>
              <w:tc>
                <w:tcPr>
                  <w:tcW w:w="1371" w:type="dxa"/>
                  <w:tcBorders>
                    <w:tl2br w:val="nil"/>
                    <w:tr2bl w:val="nil"/>
                  </w:tcBorders>
                  <w:noWrap/>
                  <w:vAlign w:val="center"/>
                </w:tcPr>
                <w:p>
                  <w:pPr>
                    <w:jc w:val="center"/>
                    <w:rPr>
                      <w:sz w:val="21"/>
                      <w:szCs w:val="21"/>
                    </w:rPr>
                  </w:pPr>
                  <w:r>
                    <w:rPr>
                      <w:sz w:val="21"/>
                      <w:szCs w:val="21"/>
                    </w:rPr>
                    <w:t>COD</w:t>
                  </w:r>
                </w:p>
              </w:tc>
              <w:tc>
                <w:tcPr>
                  <w:tcW w:w="1336" w:type="dxa"/>
                  <w:tcBorders>
                    <w:tl2br w:val="nil"/>
                    <w:tr2bl w:val="nil"/>
                  </w:tcBorders>
                  <w:noWrap/>
                  <w:vAlign w:val="center"/>
                </w:tcPr>
                <w:p>
                  <w:pPr>
                    <w:jc w:val="center"/>
                    <w:rPr>
                      <w:sz w:val="21"/>
                      <w:szCs w:val="21"/>
                    </w:rPr>
                  </w:pPr>
                  <w:r>
                    <w:rPr>
                      <w:sz w:val="21"/>
                      <w:szCs w:val="21"/>
                    </w:rPr>
                    <w:t>BOD</w:t>
                  </w:r>
                  <w:r>
                    <w:rPr>
                      <w:sz w:val="21"/>
                      <w:szCs w:val="21"/>
                      <w:vertAlign w:val="subscript"/>
                    </w:rPr>
                    <w:t>5</w:t>
                  </w:r>
                </w:p>
              </w:tc>
              <w:tc>
                <w:tcPr>
                  <w:tcW w:w="1422" w:type="dxa"/>
                  <w:tcBorders>
                    <w:tl2br w:val="nil"/>
                    <w:tr2bl w:val="nil"/>
                  </w:tcBorders>
                  <w:noWrap/>
                  <w:vAlign w:val="center"/>
                </w:tcPr>
                <w:p>
                  <w:pPr>
                    <w:jc w:val="center"/>
                    <w:rPr>
                      <w:sz w:val="21"/>
                      <w:szCs w:val="21"/>
                    </w:rPr>
                  </w:pPr>
                  <w:r>
                    <w:rPr>
                      <w:sz w:val="21"/>
                      <w:szCs w:val="21"/>
                    </w:rPr>
                    <w:t>NH</w:t>
                  </w:r>
                  <w:r>
                    <w:rPr>
                      <w:sz w:val="21"/>
                      <w:szCs w:val="21"/>
                      <w:vertAlign w:val="subscript"/>
                    </w:rPr>
                    <w:t>3</w:t>
                  </w:r>
                  <w:r>
                    <w:rPr>
                      <w:sz w:val="21"/>
                      <w:szCs w:val="21"/>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restart"/>
                  <w:tcBorders>
                    <w:tl2br w:val="nil"/>
                    <w:tr2bl w:val="nil"/>
                  </w:tcBorders>
                  <w:noWrap/>
                  <w:vAlign w:val="center"/>
                </w:tcPr>
                <w:p>
                  <w:pPr>
                    <w:jc w:val="center"/>
                    <w:rPr>
                      <w:color w:val="000000"/>
                      <w:sz w:val="21"/>
                      <w:szCs w:val="21"/>
                    </w:rPr>
                  </w:pPr>
                  <w:r>
                    <w:rPr>
                      <w:color w:val="000000"/>
                      <w:sz w:val="21"/>
                      <w:szCs w:val="21"/>
                    </w:rPr>
                    <w:t>澎河贾寨</w:t>
                  </w:r>
                </w:p>
                <w:p>
                  <w:pPr>
                    <w:jc w:val="center"/>
                    <w:rPr>
                      <w:sz w:val="21"/>
                      <w:szCs w:val="21"/>
                    </w:rPr>
                  </w:pPr>
                  <w:r>
                    <w:rPr>
                      <w:sz w:val="21"/>
                      <w:szCs w:val="21"/>
                    </w:rPr>
                    <w:t>断面</w:t>
                  </w: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年3月1</w:t>
                  </w:r>
                  <w:r>
                    <w:rPr>
                      <w:rFonts w:hint="eastAsia"/>
                      <w:sz w:val="21"/>
                      <w:szCs w:val="21"/>
                      <w:lang w:val="en-US" w:eastAsia="zh-CN"/>
                    </w:rPr>
                    <w:t>4</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7.60</w:t>
                  </w:r>
                </w:p>
              </w:tc>
              <w:tc>
                <w:tcPr>
                  <w:tcW w:w="1371" w:type="dxa"/>
                  <w:tcBorders>
                    <w:tl2br w:val="nil"/>
                    <w:tr2bl w:val="nil"/>
                  </w:tcBorders>
                  <w:noWrap/>
                  <w:vAlign w:val="center"/>
                </w:tcPr>
                <w:p>
                  <w:pPr>
                    <w:spacing w:line="280" w:lineRule="exact"/>
                    <w:jc w:val="center"/>
                    <w:rPr>
                      <w:rFonts w:hint="eastAsia" w:eastAsia="宋体"/>
                      <w:sz w:val="21"/>
                      <w:szCs w:val="21"/>
                      <w:lang w:eastAsia="zh-CN"/>
                    </w:rPr>
                  </w:pPr>
                  <w:r>
                    <w:rPr>
                      <w:rFonts w:hint="eastAsia"/>
                      <w:sz w:val="21"/>
                      <w:szCs w:val="21"/>
                      <w:lang w:val="en-US" w:eastAsia="zh-CN"/>
                    </w:rPr>
                    <w:t>7</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1.2</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年3月</w:t>
                  </w:r>
                  <w:r>
                    <w:rPr>
                      <w:rFonts w:hint="eastAsia"/>
                      <w:sz w:val="21"/>
                      <w:szCs w:val="21"/>
                      <w:lang w:val="en-US" w:eastAsia="zh-CN"/>
                    </w:rPr>
                    <w:t>15</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7.65</w:t>
                  </w:r>
                </w:p>
              </w:tc>
              <w:tc>
                <w:tcPr>
                  <w:tcW w:w="1371" w:type="dxa"/>
                  <w:tcBorders>
                    <w:tl2br w:val="nil"/>
                    <w:tr2bl w:val="nil"/>
                  </w:tcBorders>
                  <w:noWrap/>
                  <w:vAlign w:val="center"/>
                </w:tcPr>
                <w:p>
                  <w:pPr>
                    <w:spacing w:line="280" w:lineRule="exact"/>
                    <w:jc w:val="center"/>
                    <w:rPr>
                      <w:rFonts w:hint="eastAsia" w:eastAsia="宋体"/>
                      <w:sz w:val="21"/>
                      <w:szCs w:val="21"/>
                      <w:lang w:eastAsia="zh-CN"/>
                    </w:rPr>
                  </w:pPr>
                  <w:r>
                    <w:rPr>
                      <w:rFonts w:hint="eastAsia"/>
                      <w:sz w:val="21"/>
                      <w:szCs w:val="21"/>
                      <w:lang w:val="en-US" w:eastAsia="zh-CN"/>
                    </w:rPr>
                    <w:t>6</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1.2</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年7月</w:t>
                  </w:r>
                  <w:r>
                    <w:rPr>
                      <w:rFonts w:hint="eastAsia"/>
                      <w:sz w:val="21"/>
                      <w:szCs w:val="21"/>
                      <w:lang w:val="en-US" w:eastAsia="zh-CN"/>
                    </w:rPr>
                    <w:t>10</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7.71</w:t>
                  </w:r>
                </w:p>
              </w:tc>
              <w:tc>
                <w:tcPr>
                  <w:tcW w:w="1371"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12</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1.6</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年7月</w:t>
                  </w:r>
                  <w:r>
                    <w:rPr>
                      <w:rFonts w:hint="eastAsia"/>
                      <w:sz w:val="21"/>
                      <w:szCs w:val="21"/>
                      <w:lang w:val="en-US" w:eastAsia="zh-CN"/>
                    </w:rPr>
                    <w:t>11</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7.68</w:t>
                  </w:r>
                </w:p>
              </w:tc>
              <w:tc>
                <w:tcPr>
                  <w:tcW w:w="1371"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14</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2.6</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标准指数范围</w:t>
                  </w:r>
                </w:p>
              </w:tc>
              <w:tc>
                <w:tcPr>
                  <w:tcW w:w="1388" w:type="dxa"/>
                  <w:tcBorders>
                    <w:tl2br w:val="nil"/>
                    <w:tr2bl w:val="nil"/>
                  </w:tcBorders>
                  <w:noWrap/>
                  <w:vAlign w:val="center"/>
                </w:tcPr>
                <w:p>
                  <w:pPr>
                    <w:jc w:val="center"/>
                    <w:rPr>
                      <w:rFonts w:hint="eastAsia" w:eastAsia="宋体"/>
                      <w:sz w:val="21"/>
                      <w:szCs w:val="21"/>
                      <w:lang w:eastAsia="zh-CN"/>
                    </w:rPr>
                  </w:pPr>
                  <w:r>
                    <w:rPr>
                      <w:rFonts w:hint="eastAsia"/>
                      <w:sz w:val="21"/>
                      <w:szCs w:val="21"/>
                      <w:lang w:val="en-US" w:eastAsia="zh-CN"/>
                    </w:rPr>
                    <w:t>/</w:t>
                  </w:r>
                </w:p>
              </w:tc>
              <w:tc>
                <w:tcPr>
                  <w:tcW w:w="1371"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0.3</w:t>
                  </w:r>
                  <w:r>
                    <w:rPr>
                      <w:sz w:val="21"/>
                      <w:szCs w:val="21"/>
                    </w:rPr>
                    <w:t>~</w:t>
                  </w:r>
                  <w:r>
                    <w:rPr>
                      <w:rFonts w:hint="eastAsia"/>
                      <w:sz w:val="21"/>
                      <w:szCs w:val="21"/>
                      <w:lang w:val="en-US" w:eastAsia="zh-CN"/>
                    </w:rPr>
                    <w:t>0.7</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0.3</w:t>
                  </w:r>
                  <w:r>
                    <w:rPr>
                      <w:sz w:val="21"/>
                      <w:szCs w:val="21"/>
                    </w:rPr>
                    <w:t>~</w:t>
                  </w:r>
                  <w:r>
                    <w:rPr>
                      <w:rFonts w:hint="eastAsia"/>
                      <w:sz w:val="21"/>
                      <w:szCs w:val="21"/>
                      <w:lang w:val="en-US" w:eastAsia="zh-CN"/>
                    </w:rPr>
                    <w:t>0.65</w:t>
                  </w:r>
                </w:p>
              </w:tc>
              <w:tc>
                <w:tcPr>
                  <w:tcW w:w="1422"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0.081</w:t>
                  </w:r>
                  <w:r>
                    <w:rPr>
                      <w:sz w:val="21"/>
                      <w:szCs w:val="21"/>
                    </w:rPr>
                    <w:t>~</w:t>
                  </w:r>
                  <w:r>
                    <w:rPr>
                      <w:rFonts w:hint="eastAsia"/>
                      <w:sz w:val="21"/>
                      <w:szCs w:val="21"/>
                      <w:lang w:val="en-US" w:eastAsia="zh-CN"/>
                    </w:rPr>
                    <w:t>0.348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超标率</w:t>
                  </w:r>
                </w:p>
              </w:tc>
              <w:tc>
                <w:tcPr>
                  <w:tcW w:w="1388" w:type="dxa"/>
                  <w:tcBorders>
                    <w:tl2br w:val="nil"/>
                    <w:tr2bl w:val="nil"/>
                  </w:tcBorders>
                  <w:noWrap/>
                  <w:vAlign w:val="center"/>
                </w:tcPr>
                <w:p>
                  <w:pPr>
                    <w:jc w:val="center"/>
                    <w:rPr>
                      <w:sz w:val="21"/>
                      <w:szCs w:val="21"/>
                    </w:rPr>
                  </w:pPr>
                  <w:r>
                    <w:rPr>
                      <w:sz w:val="21"/>
                      <w:szCs w:val="21"/>
                    </w:rPr>
                    <w:t>0</w:t>
                  </w:r>
                </w:p>
              </w:tc>
              <w:tc>
                <w:tcPr>
                  <w:tcW w:w="1371" w:type="dxa"/>
                  <w:tcBorders>
                    <w:tl2br w:val="nil"/>
                    <w:tr2bl w:val="nil"/>
                  </w:tcBorders>
                  <w:noWrap/>
                  <w:vAlign w:val="center"/>
                </w:tcPr>
                <w:p>
                  <w:pPr>
                    <w:jc w:val="center"/>
                    <w:rPr>
                      <w:sz w:val="21"/>
                      <w:szCs w:val="21"/>
                    </w:rPr>
                  </w:pPr>
                  <w:r>
                    <w:rPr>
                      <w:sz w:val="21"/>
                      <w:szCs w:val="21"/>
                    </w:rPr>
                    <w:t>0</w:t>
                  </w:r>
                </w:p>
              </w:tc>
              <w:tc>
                <w:tcPr>
                  <w:tcW w:w="1336" w:type="dxa"/>
                  <w:tcBorders>
                    <w:tl2br w:val="nil"/>
                    <w:tr2bl w:val="nil"/>
                  </w:tcBorders>
                  <w:noWrap/>
                  <w:vAlign w:val="center"/>
                </w:tcPr>
                <w:p>
                  <w:pPr>
                    <w:jc w:val="center"/>
                    <w:rPr>
                      <w:sz w:val="21"/>
                      <w:szCs w:val="21"/>
                    </w:rPr>
                  </w:pPr>
                  <w:r>
                    <w:rPr>
                      <w:sz w:val="21"/>
                      <w:szCs w:val="21"/>
                    </w:rPr>
                    <w:t>0</w:t>
                  </w:r>
                </w:p>
              </w:tc>
              <w:tc>
                <w:tcPr>
                  <w:tcW w:w="1422" w:type="dxa"/>
                  <w:tcBorders>
                    <w:tl2br w:val="nil"/>
                    <w:tr2bl w:val="nil"/>
                  </w:tcBorders>
                  <w:noWrap/>
                  <w:vAlign w:val="center"/>
                </w:tcPr>
                <w:p>
                  <w:pPr>
                    <w:jc w:val="center"/>
                    <w:rPr>
                      <w:sz w:val="21"/>
                      <w:szCs w:val="21"/>
                    </w:rPr>
                  </w:pPr>
                  <w:r>
                    <w:rPr>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最大超标率</w:t>
                  </w:r>
                </w:p>
              </w:tc>
              <w:tc>
                <w:tcPr>
                  <w:tcW w:w="1388" w:type="dxa"/>
                  <w:tcBorders>
                    <w:tl2br w:val="nil"/>
                    <w:tr2bl w:val="nil"/>
                  </w:tcBorders>
                  <w:noWrap/>
                  <w:vAlign w:val="center"/>
                </w:tcPr>
                <w:p>
                  <w:pPr>
                    <w:jc w:val="center"/>
                    <w:rPr>
                      <w:sz w:val="21"/>
                      <w:szCs w:val="21"/>
                    </w:rPr>
                  </w:pPr>
                  <w:r>
                    <w:rPr>
                      <w:sz w:val="21"/>
                      <w:szCs w:val="21"/>
                    </w:rPr>
                    <w:t>/</w:t>
                  </w:r>
                </w:p>
              </w:tc>
              <w:tc>
                <w:tcPr>
                  <w:tcW w:w="1371" w:type="dxa"/>
                  <w:tcBorders>
                    <w:tl2br w:val="nil"/>
                    <w:tr2bl w:val="nil"/>
                  </w:tcBorders>
                  <w:noWrap/>
                  <w:vAlign w:val="center"/>
                </w:tcPr>
                <w:p>
                  <w:pPr>
                    <w:jc w:val="center"/>
                    <w:rPr>
                      <w:sz w:val="21"/>
                      <w:szCs w:val="21"/>
                    </w:rPr>
                  </w:pPr>
                  <w:r>
                    <w:rPr>
                      <w:sz w:val="21"/>
                      <w:szCs w:val="21"/>
                    </w:rPr>
                    <w:t>/</w:t>
                  </w:r>
                </w:p>
              </w:tc>
              <w:tc>
                <w:tcPr>
                  <w:tcW w:w="1336" w:type="dxa"/>
                  <w:tcBorders>
                    <w:tl2br w:val="nil"/>
                    <w:tr2bl w:val="nil"/>
                  </w:tcBorders>
                  <w:noWrap/>
                  <w:vAlign w:val="center"/>
                </w:tcPr>
                <w:p>
                  <w:pPr>
                    <w:jc w:val="center"/>
                    <w:rPr>
                      <w:sz w:val="21"/>
                      <w:szCs w:val="21"/>
                    </w:rPr>
                  </w:pPr>
                  <w:r>
                    <w:rPr>
                      <w:sz w:val="21"/>
                      <w:szCs w:val="21"/>
                    </w:rPr>
                    <w:t>/</w:t>
                  </w:r>
                </w:p>
              </w:tc>
              <w:tc>
                <w:tcPr>
                  <w:tcW w:w="1422" w:type="dxa"/>
                  <w:tcBorders>
                    <w:tl2br w:val="nil"/>
                    <w:tr2bl w:val="nil"/>
                  </w:tcBorders>
                  <w:noWrap/>
                  <w:vAlign w:val="center"/>
                </w:tcPr>
                <w:p>
                  <w:pPr>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5" w:type="dxa"/>
                  <w:gridSpan w:val="2"/>
                  <w:tcBorders>
                    <w:tl2br w:val="nil"/>
                    <w:tr2bl w:val="nil"/>
                  </w:tcBorders>
                  <w:noWrap/>
                  <w:vAlign w:val="center"/>
                </w:tcPr>
                <w:p>
                  <w:pPr>
                    <w:jc w:val="center"/>
                    <w:rPr>
                      <w:sz w:val="21"/>
                      <w:szCs w:val="21"/>
                    </w:rPr>
                  </w:pPr>
                  <w:r>
                    <w:rPr>
                      <w:sz w:val="21"/>
                      <w:szCs w:val="21"/>
                    </w:rPr>
                    <w:t>《地表水环境质量标准》Ⅲ类</w:t>
                  </w:r>
                </w:p>
              </w:tc>
              <w:tc>
                <w:tcPr>
                  <w:tcW w:w="1388" w:type="dxa"/>
                  <w:tcBorders>
                    <w:tl2br w:val="nil"/>
                    <w:tr2bl w:val="nil"/>
                  </w:tcBorders>
                  <w:noWrap/>
                  <w:vAlign w:val="center"/>
                </w:tcPr>
                <w:p>
                  <w:pPr>
                    <w:jc w:val="center"/>
                    <w:rPr>
                      <w:sz w:val="21"/>
                      <w:szCs w:val="21"/>
                    </w:rPr>
                  </w:pPr>
                  <w:r>
                    <w:rPr>
                      <w:sz w:val="21"/>
                      <w:szCs w:val="21"/>
                    </w:rPr>
                    <w:t>6—9</w:t>
                  </w:r>
                </w:p>
              </w:tc>
              <w:tc>
                <w:tcPr>
                  <w:tcW w:w="1371" w:type="dxa"/>
                  <w:tcBorders>
                    <w:tl2br w:val="nil"/>
                    <w:tr2bl w:val="nil"/>
                  </w:tcBorders>
                  <w:noWrap/>
                  <w:vAlign w:val="center"/>
                </w:tcPr>
                <w:p>
                  <w:pPr>
                    <w:jc w:val="center"/>
                    <w:rPr>
                      <w:sz w:val="21"/>
                      <w:szCs w:val="21"/>
                    </w:rPr>
                  </w:pPr>
                  <w:r>
                    <w:rPr>
                      <w:sz w:val="21"/>
                      <w:szCs w:val="21"/>
                    </w:rPr>
                    <w:t>≤20</w:t>
                  </w:r>
                </w:p>
              </w:tc>
              <w:tc>
                <w:tcPr>
                  <w:tcW w:w="1336" w:type="dxa"/>
                  <w:tcBorders>
                    <w:tl2br w:val="nil"/>
                    <w:tr2bl w:val="nil"/>
                  </w:tcBorders>
                  <w:noWrap/>
                  <w:vAlign w:val="center"/>
                </w:tcPr>
                <w:p>
                  <w:pPr>
                    <w:jc w:val="center"/>
                    <w:rPr>
                      <w:sz w:val="21"/>
                      <w:szCs w:val="21"/>
                    </w:rPr>
                  </w:pPr>
                  <w:r>
                    <w:rPr>
                      <w:sz w:val="21"/>
                      <w:szCs w:val="21"/>
                    </w:rPr>
                    <w:t>≤4</w:t>
                  </w:r>
                </w:p>
              </w:tc>
              <w:tc>
                <w:tcPr>
                  <w:tcW w:w="1422" w:type="dxa"/>
                  <w:tcBorders>
                    <w:tl2br w:val="nil"/>
                    <w:tr2bl w:val="nil"/>
                  </w:tcBorders>
                  <w:noWrap/>
                  <w:vAlign w:val="center"/>
                </w:tcPr>
                <w:p>
                  <w:pPr>
                    <w:jc w:val="center"/>
                    <w:rPr>
                      <w:sz w:val="21"/>
                      <w:szCs w:val="21"/>
                    </w:rPr>
                  </w:pPr>
                  <w:r>
                    <w:rPr>
                      <w:sz w:val="21"/>
                      <w:szCs w:val="21"/>
                    </w:rPr>
                    <w:t>≤1.0</w:t>
                  </w:r>
                </w:p>
              </w:tc>
            </w:tr>
          </w:tbl>
          <w:p>
            <w:pPr>
              <w:spacing w:line="520" w:lineRule="exact"/>
              <w:ind w:firstLine="612" w:firstLineChars="255"/>
              <w:jc w:val="left"/>
              <w:rPr>
                <w:sz w:val="24"/>
              </w:rPr>
            </w:pPr>
            <w:r>
              <w:rPr>
                <w:sz w:val="24"/>
              </w:rPr>
              <w:t>由</w:t>
            </w:r>
            <w:r>
              <w:rPr>
                <w:rFonts w:hint="eastAsia"/>
                <w:sz w:val="24"/>
              </w:rPr>
              <w:t>上</w:t>
            </w:r>
            <w:r>
              <w:rPr>
                <w:sz w:val="24"/>
              </w:rPr>
              <w:t>表可以看出，各项因子均能满足《地表水环境质量标准》（GB3838-2002）中Ⅲ类标准的要求。</w:t>
            </w:r>
          </w:p>
          <w:p>
            <w:pPr>
              <w:spacing w:line="520" w:lineRule="exact"/>
              <w:ind w:firstLine="480" w:firstLineChars="200"/>
              <w:rPr>
                <w:rFonts w:eastAsia="黑体"/>
                <w:sz w:val="24"/>
              </w:rPr>
            </w:pPr>
            <w:r>
              <w:rPr>
                <w:rFonts w:eastAsia="黑体"/>
                <w:sz w:val="24"/>
              </w:rPr>
              <w:t>三、声环境</w:t>
            </w:r>
          </w:p>
          <w:p>
            <w:pPr>
              <w:spacing w:line="520" w:lineRule="atLeast"/>
              <w:ind w:firstLine="480"/>
              <w:rPr>
                <w:sz w:val="24"/>
              </w:rPr>
            </w:pPr>
            <w:r>
              <w:rPr>
                <w:sz w:val="24"/>
              </w:rPr>
              <w:t>项目所在地声环境噪声</w:t>
            </w:r>
            <w:r>
              <w:rPr>
                <w:color w:val="auto"/>
                <w:sz w:val="24"/>
              </w:rPr>
              <w:t>执行《声环境质量标准》（GB3096-2008）2</w:t>
            </w:r>
            <w:r>
              <w:rPr>
                <w:sz w:val="24"/>
              </w:rPr>
              <w:t>类标准的要求。建设单位委托</w:t>
            </w:r>
            <w:r>
              <w:rPr>
                <w:rFonts w:hint="default" w:ascii="Times New Roman" w:hAnsi="Times New Roman" w:cs="Times New Roman"/>
                <w:color w:val="auto"/>
                <w:sz w:val="24"/>
                <w:lang w:eastAsia="zh-CN"/>
              </w:rPr>
              <w:t>河南鼎晟检测技术</w:t>
            </w:r>
            <w:r>
              <w:rPr>
                <w:color w:val="auto"/>
                <w:sz w:val="24"/>
              </w:rPr>
              <w:t>有限公司</w:t>
            </w:r>
            <w:r>
              <w:rPr>
                <w:sz w:val="24"/>
              </w:rPr>
              <w:t>对厂区声环境现状进行了监测，项目各厂界噪声监测结果见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10</w:t>
            </w:r>
            <w:r>
              <w:rPr>
                <w:rFonts w:eastAsia="黑体"/>
                <w:kern w:val="0"/>
                <w:sz w:val="24"/>
                <w:lang w:val="zh-CN"/>
              </w:rPr>
              <w:t xml:space="preserve">             声环境质量现状监测结果统计表</w:t>
            </w:r>
          </w:p>
          <w:tbl>
            <w:tblPr>
              <w:tblStyle w:val="3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886"/>
              <w:gridCol w:w="1059"/>
              <w:gridCol w:w="881"/>
              <w:gridCol w:w="1061"/>
              <w:gridCol w:w="1379"/>
              <w:gridCol w:w="1381"/>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vMerge w:val="restart"/>
                  <w:noWrap/>
                  <w:vAlign w:val="center"/>
                </w:tcPr>
                <w:p>
                  <w:pPr>
                    <w:spacing w:line="280" w:lineRule="exact"/>
                    <w:jc w:val="center"/>
                    <w:rPr>
                      <w:snapToGrid w:val="0"/>
                      <w:kern w:val="0"/>
                      <w:szCs w:val="21"/>
                    </w:rPr>
                  </w:pPr>
                  <w:r>
                    <w:rPr>
                      <w:snapToGrid w:val="0"/>
                      <w:kern w:val="0"/>
                      <w:szCs w:val="21"/>
                    </w:rPr>
                    <w:t>监测方位（点）</w:t>
                  </w:r>
                </w:p>
              </w:tc>
              <w:tc>
                <w:tcPr>
                  <w:tcW w:w="3887" w:type="dxa"/>
                  <w:gridSpan w:val="4"/>
                  <w:noWrap/>
                  <w:vAlign w:val="center"/>
                </w:tcPr>
                <w:p>
                  <w:pPr>
                    <w:spacing w:line="280" w:lineRule="exact"/>
                    <w:jc w:val="center"/>
                    <w:rPr>
                      <w:snapToGrid w:val="0"/>
                      <w:kern w:val="0"/>
                      <w:szCs w:val="21"/>
                    </w:rPr>
                  </w:pPr>
                  <w:r>
                    <w:rPr>
                      <w:snapToGrid w:val="0"/>
                      <w:kern w:val="0"/>
                      <w:szCs w:val="21"/>
                    </w:rPr>
                    <w:t>等效声级[</w:t>
                  </w:r>
                  <w:r>
                    <w:rPr>
                      <w:rFonts w:eastAsia="黑体"/>
                      <w:snapToGrid w:val="0"/>
                      <w:kern w:val="0"/>
                    </w:rPr>
                    <w:t>dB(A)]</w:t>
                  </w:r>
                </w:p>
              </w:tc>
              <w:tc>
                <w:tcPr>
                  <w:tcW w:w="2760" w:type="dxa"/>
                  <w:gridSpan w:val="2"/>
                  <w:vMerge w:val="restart"/>
                  <w:noWrap/>
                  <w:vAlign w:val="center"/>
                </w:tcPr>
                <w:p>
                  <w:pPr>
                    <w:spacing w:line="280" w:lineRule="exact"/>
                    <w:jc w:val="center"/>
                    <w:rPr>
                      <w:snapToGrid w:val="0"/>
                      <w:kern w:val="0"/>
                      <w:szCs w:val="21"/>
                    </w:rPr>
                  </w:pPr>
                  <w:r>
                    <w:rPr>
                      <w:snapToGrid w:val="0"/>
                      <w:kern w:val="0"/>
                      <w:szCs w:val="21"/>
                    </w:rPr>
                    <w:t>执行标准</w:t>
                  </w:r>
                </w:p>
              </w:tc>
              <w:tc>
                <w:tcPr>
                  <w:tcW w:w="659" w:type="dxa"/>
                  <w:vMerge w:val="restart"/>
                  <w:noWrap/>
                  <w:vAlign w:val="center"/>
                </w:tcPr>
                <w:p>
                  <w:pPr>
                    <w:spacing w:line="280" w:lineRule="exact"/>
                    <w:jc w:val="center"/>
                    <w:rPr>
                      <w:snapToGrid w:val="0"/>
                      <w:kern w:val="0"/>
                      <w:szCs w:val="21"/>
                    </w:rPr>
                  </w:pPr>
                  <w:r>
                    <w:rPr>
                      <w:snapToGrid w:val="0"/>
                      <w:kern w:val="0"/>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vMerge w:val="continue"/>
                  <w:noWrap/>
                  <w:vAlign w:val="center"/>
                </w:tcPr>
                <w:p>
                  <w:pPr>
                    <w:spacing w:line="280" w:lineRule="exact"/>
                    <w:jc w:val="center"/>
                    <w:rPr>
                      <w:snapToGrid w:val="0"/>
                      <w:kern w:val="0"/>
                      <w:szCs w:val="21"/>
                    </w:rPr>
                  </w:pPr>
                </w:p>
              </w:tc>
              <w:tc>
                <w:tcPr>
                  <w:tcW w:w="1945" w:type="dxa"/>
                  <w:gridSpan w:val="2"/>
                  <w:noWrap/>
                  <w:vAlign w:val="center"/>
                </w:tcPr>
                <w:p>
                  <w:pPr>
                    <w:spacing w:line="280" w:lineRule="exact"/>
                    <w:jc w:val="center"/>
                    <w:rPr>
                      <w:rFonts w:hint="default" w:eastAsia="宋体"/>
                      <w:snapToGrid w:val="0"/>
                      <w:kern w:val="0"/>
                      <w:szCs w:val="21"/>
                      <w:lang w:val="en-US" w:eastAsia="zh-CN"/>
                    </w:rPr>
                  </w:pPr>
                  <w:r>
                    <w:rPr>
                      <w:rFonts w:hint="eastAsia"/>
                      <w:snapToGrid w:val="0"/>
                      <w:kern w:val="0"/>
                      <w:szCs w:val="21"/>
                      <w:lang w:val="en-US" w:eastAsia="zh-CN"/>
                    </w:rPr>
                    <w:t>2021.01.15</w:t>
                  </w:r>
                </w:p>
              </w:tc>
              <w:tc>
                <w:tcPr>
                  <w:tcW w:w="1942" w:type="dxa"/>
                  <w:gridSpan w:val="2"/>
                  <w:noWrap/>
                  <w:vAlign w:val="center"/>
                </w:tcPr>
                <w:p>
                  <w:pPr>
                    <w:spacing w:line="280" w:lineRule="exact"/>
                    <w:jc w:val="center"/>
                    <w:rPr>
                      <w:rFonts w:hint="default" w:eastAsia="宋体"/>
                      <w:snapToGrid w:val="0"/>
                      <w:kern w:val="0"/>
                      <w:szCs w:val="21"/>
                      <w:lang w:val="en-US" w:eastAsia="zh-CN"/>
                    </w:rPr>
                  </w:pPr>
                  <w:r>
                    <w:rPr>
                      <w:rFonts w:hint="eastAsia"/>
                      <w:snapToGrid w:val="0"/>
                      <w:kern w:val="0"/>
                      <w:szCs w:val="21"/>
                      <w:lang w:val="en-US" w:eastAsia="zh-CN"/>
                    </w:rPr>
                    <w:t>2021.01.16</w:t>
                  </w:r>
                </w:p>
              </w:tc>
              <w:tc>
                <w:tcPr>
                  <w:tcW w:w="2760" w:type="dxa"/>
                  <w:gridSpan w:val="2"/>
                  <w:vMerge w:val="continue"/>
                  <w:noWrap/>
                  <w:vAlign w:val="center"/>
                </w:tcPr>
                <w:p>
                  <w:pPr>
                    <w:spacing w:line="280" w:lineRule="exact"/>
                    <w:jc w:val="center"/>
                    <w:rPr>
                      <w:snapToGrid w:val="0"/>
                      <w:kern w:val="0"/>
                      <w:szCs w:val="21"/>
                    </w:rPr>
                  </w:pP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vMerge w:val="continue"/>
                  <w:noWrap/>
                  <w:vAlign w:val="center"/>
                </w:tcPr>
                <w:p>
                  <w:pPr>
                    <w:spacing w:line="280" w:lineRule="exact"/>
                    <w:jc w:val="center"/>
                    <w:rPr>
                      <w:snapToGrid w:val="0"/>
                      <w:kern w:val="0"/>
                      <w:szCs w:val="21"/>
                    </w:rPr>
                  </w:pPr>
                </w:p>
              </w:tc>
              <w:tc>
                <w:tcPr>
                  <w:tcW w:w="886" w:type="dxa"/>
                  <w:noWrap/>
                  <w:vAlign w:val="center"/>
                </w:tcPr>
                <w:p>
                  <w:pPr>
                    <w:spacing w:line="280" w:lineRule="exact"/>
                    <w:jc w:val="center"/>
                    <w:rPr>
                      <w:snapToGrid w:val="0"/>
                      <w:kern w:val="0"/>
                      <w:szCs w:val="21"/>
                    </w:rPr>
                  </w:pPr>
                  <w:r>
                    <w:rPr>
                      <w:snapToGrid w:val="0"/>
                      <w:kern w:val="0"/>
                      <w:szCs w:val="21"/>
                    </w:rPr>
                    <w:t>昼间</w:t>
                  </w:r>
                </w:p>
              </w:tc>
              <w:tc>
                <w:tcPr>
                  <w:tcW w:w="1059" w:type="dxa"/>
                  <w:noWrap/>
                  <w:vAlign w:val="center"/>
                </w:tcPr>
                <w:p>
                  <w:pPr>
                    <w:spacing w:line="280" w:lineRule="exact"/>
                    <w:jc w:val="center"/>
                    <w:rPr>
                      <w:snapToGrid w:val="0"/>
                      <w:kern w:val="0"/>
                      <w:szCs w:val="21"/>
                    </w:rPr>
                  </w:pPr>
                  <w:r>
                    <w:rPr>
                      <w:snapToGrid w:val="0"/>
                      <w:kern w:val="0"/>
                      <w:szCs w:val="21"/>
                    </w:rPr>
                    <w:t>夜间</w:t>
                  </w:r>
                </w:p>
              </w:tc>
              <w:tc>
                <w:tcPr>
                  <w:tcW w:w="881" w:type="dxa"/>
                  <w:noWrap/>
                  <w:vAlign w:val="center"/>
                </w:tcPr>
                <w:p>
                  <w:pPr>
                    <w:spacing w:line="280" w:lineRule="exact"/>
                    <w:jc w:val="center"/>
                    <w:rPr>
                      <w:snapToGrid w:val="0"/>
                      <w:kern w:val="0"/>
                      <w:szCs w:val="21"/>
                    </w:rPr>
                  </w:pPr>
                  <w:r>
                    <w:rPr>
                      <w:snapToGrid w:val="0"/>
                      <w:kern w:val="0"/>
                      <w:szCs w:val="21"/>
                    </w:rPr>
                    <w:t>昼间</w:t>
                  </w:r>
                </w:p>
              </w:tc>
              <w:tc>
                <w:tcPr>
                  <w:tcW w:w="1061" w:type="dxa"/>
                  <w:noWrap/>
                  <w:vAlign w:val="center"/>
                </w:tcPr>
                <w:p>
                  <w:pPr>
                    <w:spacing w:line="280" w:lineRule="exact"/>
                    <w:jc w:val="center"/>
                    <w:rPr>
                      <w:snapToGrid w:val="0"/>
                      <w:kern w:val="0"/>
                      <w:szCs w:val="21"/>
                    </w:rPr>
                  </w:pPr>
                  <w:r>
                    <w:rPr>
                      <w:snapToGrid w:val="0"/>
                      <w:kern w:val="0"/>
                      <w:szCs w:val="21"/>
                    </w:rPr>
                    <w:t>夜间</w:t>
                  </w:r>
                </w:p>
              </w:tc>
              <w:tc>
                <w:tcPr>
                  <w:tcW w:w="1379" w:type="dxa"/>
                  <w:noWrap/>
                  <w:vAlign w:val="center"/>
                </w:tcPr>
                <w:p>
                  <w:pPr>
                    <w:spacing w:line="280" w:lineRule="exact"/>
                    <w:jc w:val="center"/>
                    <w:rPr>
                      <w:snapToGrid w:val="0"/>
                      <w:kern w:val="0"/>
                      <w:szCs w:val="21"/>
                    </w:rPr>
                  </w:pPr>
                  <w:r>
                    <w:rPr>
                      <w:snapToGrid w:val="0"/>
                      <w:kern w:val="0"/>
                      <w:szCs w:val="21"/>
                    </w:rPr>
                    <w:t>昼间</w:t>
                  </w:r>
                </w:p>
              </w:tc>
              <w:tc>
                <w:tcPr>
                  <w:tcW w:w="1381" w:type="dxa"/>
                  <w:noWrap/>
                  <w:vAlign w:val="center"/>
                </w:tcPr>
                <w:p>
                  <w:pPr>
                    <w:spacing w:line="280" w:lineRule="exact"/>
                    <w:jc w:val="center"/>
                    <w:rPr>
                      <w:snapToGrid w:val="0"/>
                      <w:kern w:val="0"/>
                      <w:szCs w:val="21"/>
                    </w:rPr>
                  </w:pPr>
                  <w:r>
                    <w:rPr>
                      <w:snapToGrid w:val="0"/>
                      <w:kern w:val="0"/>
                      <w:szCs w:val="21"/>
                    </w:rPr>
                    <w:t>夜间</w:t>
                  </w: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东厂界</w:t>
                  </w:r>
                </w:p>
              </w:tc>
              <w:tc>
                <w:tcPr>
                  <w:tcW w:w="886" w:type="dxa"/>
                  <w:noWrap/>
                  <w:vAlign w:val="center"/>
                </w:tcPr>
                <w:p>
                  <w:pPr>
                    <w:spacing w:line="280" w:lineRule="exact"/>
                    <w:jc w:val="center"/>
                    <w:rPr>
                      <w:rFonts w:hint="default" w:eastAsia="宋体"/>
                      <w:szCs w:val="21"/>
                      <w:lang w:val="en-US" w:eastAsia="zh-CN"/>
                    </w:rPr>
                  </w:pPr>
                  <w:r>
                    <w:rPr>
                      <w:rFonts w:hint="eastAsia"/>
                      <w:szCs w:val="21"/>
                      <w:lang w:val="en-US" w:eastAsia="zh-CN"/>
                    </w:rPr>
                    <w:t>50</w:t>
                  </w:r>
                </w:p>
              </w:tc>
              <w:tc>
                <w:tcPr>
                  <w:tcW w:w="1059" w:type="dxa"/>
                  <w:noWrap/>
                  <w:vAlign w:val="center"/>
                </w:tcPr>
                <w:p>
                  <w:pPr>
                    <w:spacing w:line="280" w:lineRule="exact"/>
                    <w:jc w:val="center"/>
                    <w:rPr>
                      <w:szCs w:val="21"/>
                    </w:rPr>
                  </w:pPr>
                  <w:r>
                    <w:rPr>
                      <w:rFonts w:hint="eastAsia"/>
                      <w:szCs w:val="21"/>
                    </w:rPr>
                    <w:t>41</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49</w:t>
                  </w:r>
                </w:p>
              </w:tc>
              <w:tc>
                <w:tcPr>
                  <w:tcW w:w="1061" w:type="dxa"/>
                  <w:noWrap/>
                  <w:vAlign w:val="center"/>
                </w:tcPr>
                <w:p>
                  <w:pPr>
                    <w:spacing w:line="280" w:lineRule="exact"/>
                    <w:jc w:val="center"/>
                    <w:rPr>
                      <w:rFonts w:hint="default" w:eastAsia="宋体"/>
                      <w:szCs w:val="21"/>
                      <w:lang w:val="en-US" w:eastAsia="zh-CN"/>
                    </w:rPr>
                  </w:pPr>
                  <w:r>
                    <w:rPr>
                      <w:rFonts w:hint="eastAsia"/>
                      <w:szCs w:val="21"/>
                      <w:lang w:val="en-US" w:eastAsia="zh-CN"/>
                    </w:rPr>
                    <w:t>40</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restart"/>
                  <w:noWrap/>
                  <w:vAlign w:val="center"/>
                </w:tcPr>
                <w:p>
                  <w:pPr>
                    <w:spacing w:line="280" w:lineRule="exact"/>
                    <w:jc w:val="center"/>
                    <w:rPr>
                      <w:snapToGrid w:val="0"/>
                      <w:kern w:val="0"/>
                      <w:szCs w:val="21"/>
                    </w:rPr>
                  </w:pPr>
                  <w:r>
                    <w:rPr>
                      <w:snapToGrid w:val="0"/>
                      <w:kern w:val="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西厂界</w:t>
                  </w:r>
                </w:p>
              </w:tc>
              <w:tc>
                <w:tcPr>
                  <w:tcW w:w="886" w:type="dxa"/>
                  <w:noWrap/>
                  <w:vAlign w:val="center"/>
                </w:tcPr>
                <w:p>
                  <w:pPr>
                    <w:spacing w:line="280" w:lineRule="exact"/>
                    <w:jc w:val="center"/>
                    <w:rPr>
                      <w:rFonts w:hint="default" w:eastAsia="宋体"/>
                      <w:szCs w:val="21"/>
                      <w:lang w:val="en-US" w:eastAsia="zh-CN"/>
                    </w:rPr>
                  </w:pPr>
                  <w:r>
                    <w:rPr>
                      <w:rFonts w:hint="eastAsia"/>
                      <w:szCs w:val="21"/>
                      <w:lang w:val="en-US" w:eastAsia="zh-CN"/>
                    </w:rPr>
                    <w:t>50</w:t>
                  </w:r>
                </w:p>
              </w:tc>
              <w:tc>
                <w:tcPr>
                  <w:tcW w:w="1059" w:type="dxa"/>
                  <w:noWrap/>
                  <w:vAlign w:val="center"/>
                </w:tcPr>
                <w:p>
                  <w:pPr>
                    <w:spacing w:line="280" w:lineRule="exact"/>
                    <w:jc w:val="center"/>
                    <w:rPr>
                      <w:rFonts w:hint="default" w:eastAsia="宋体"/>
                      <w:szCs w:val="21"/>
                      <w:lang w:val="en-US" w:eastAsia="zh-CN"/>
                    </w:rPr>
                  </w:pPr>
                  <w:r>
                    <w:rPr>
                      <w:rFonts w:hint="eastAsia"/>
                      <w:szCs w:val="21"/>
                      <w:lang w:val="en-US" w:eastAsia="zh-CN"/>
                    </w:rPr>
                    <w:t>40</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51</w:t>
                  </w:r>
                </w:p>
              </w:tc>
              <w:tc>
                <w:tcPr>
                  <w:tcW w:w="1061" w:type="dxa"/>
                  <w:noWrap/>
                  <w:vAlign w:val="center"/>
                </w:tcPr>
                <w:p>
                  <w:pPr>
                    <w:spacing w:line="280" w:lineRule="exact"/>
                    <w:jc w:val="center"/>
                    <w:rPr>
                      <w:szCs w:val="21"/>
                    </w:rPr>
                  </w:pPr>
                  <w:r>
                    <w:rPr>
                      <w:rFonts w:hint="eastAsia"/>
                      <w:szCs w:val="21"/>
                    </w:rPr>
                    <w:t>41</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南厂界</w:t>
                  </w:r>
                </w:p>
              </w:tc>
              <w:tc>
                <w:tcPr>
                  <w:tcW w:w="886" w:type="dxa"/>
                  <w:noWrap/>
                  <w:vAlign w:val="center"/>
                </w:tcPr>
                <w:p>
                  <w:pPr>
                    <w:spacing w:line="280" w:lineRule="exact"/>
                    <w:jc w:val="center"/>
                    <w:rPr>
                      <w:rFonts w:hint="default" w:eastAsia="宋体"/>
                      <w:szCs w:val="21"/>
                      <w:lang w:val="en-US" w:eastAsia="zh-CN"/>
                    </w:rPr>
                  </w:pPr>
                  <w:r>
                    <w:rPr>
                      <w:rFonts w:hint="eastAsia"/>
                      <w:szCs w:val="21"/>
                      <w:lang w:val="en-US" w:eastAsia="zh-CN"/>
                    </w:rPr>
                    <w:t>51</w:t>
                  </w:r>
                </w:p>
              </w:tc>
              <w:tc>
                <w:tcPr>
                  <w:tcW w:w="1059" w:type="dxa"/>
                  <w:noWrap/>
                  <w:vAlign w:val="center"/>
                </w:tcPr>
                <w:p>
                  <w:pPr>
                    <w:spacing w:line="280" w:lineRule="exact"/>
                    <w:jc w:val="center"/>
                    <w:rPr>
                      <w:rFonts w:hint="default" w:eastAsia="宋体"/>
                      <w:szCs w:val="21"/>
                      <w:lang w:val="en-US" w:eastAsia="zh-CN"/>
                    </w:rPr>
                  </w:pPr>
                  <w:r>
                    <w:rPr>
                      <w:rFonts w:hint="eastAsia"/>
                      <w:szCs w:val="21"/>
                      <w:lang w:val="en-US" w:eastAsia="zh-CN"/>
                    </w:rPr>
                    <w:t>41</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50</w:t>
                  </w:r>
                </w:p>
              </w:tc>
              <w:tc>
                <w:tcPr>
                  <w:tcW w:w="1061" w:type="dxa"/>
                  <w:noWrap/>
                  <w:vAlign w:val="center"/>
                </w:tcPr>
                <w:p>
                  <w:pPr>
                    <w:spacing w:line="280" w:lineRule="exact"/>
                    <w:jc w:val="center"/>
                    <w:rPr>
                      <w:rFonts w:hint="default" w:eastAsia="宋体"/>
                      <w:szCs w:val="21"/>
                      <w:lang w:val="en-US" w:eastAsia="zh-CN"/>
                    </w:rPr>
                  </w:pPr>
                  <w:r>
                    <w:rPr>
                      <w:rFonts w:hint="eastAsia"/>
                      <w:szCs w:val="21"/>
                      <w:lang w:val="en-US" w:eastAsia="zh-CN"/>
                    </w:rPr>
                    <w:t>41</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北厂界</w:t>
                  </w:r>
                </w:p>
              </w:tc>
              <w:tc>
                <w:tcPr>
                  <w:tcW w:w="886" w:type="dxa"/>
                  <w:noWrap/>
                  <w:vAlign w:val="center"/>
                </w:tcPr>
                <w:p>
                  <w:pPr>
                    <w:spacing w:line="280" w:lineRule="exact"/>
                    <w:jc w:val="center"/>
                    <w:rPr>
                      <w:szCs w:val="21"/>
                    </w:rPr>
                  </w:pPr>
                  <w:r>
                    <w:rPr>
                      <w:rFonts w:hint="eastAsia"/>
                      <w:szCs w:val="21"/>
                    </w:rPr>
                    <w:t>52</w:t>
                  </w:r>
                </w:p>
              </w:tc>
              <w:tc>
                <w:tcPr>
                  <w:tcW w:w="1059" w:type="dxa"/>
                  <w:noWrap/>
                  <w:vAlign w:val="center"/>
                </w:tcPr>
                <w:p>
                  <w:pPr>
                    <w:spacing w:line="280" w:lineRule="exact"/>
                    <w:jc w:val="center"/>
                    <w:rPr>
                      <w:szCs w:val="21"/>
                    </w:rPr>
                  </w:pPr>
                  <w:r>
                    <w:rPr>
                      <w:rFonts w:hint="eastAsia"/>
                      <w:szCs w:val="21"/>
                    </w:rPr>
                    <w:t>42</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53</w:t>
                  </w:r>
                </w:p>
              </w:tc>
              <w:tc>
                <w:tcPr>
                  <w:tcW w:w="1061" w:type="dxa"/>
                  <w:noWrap/>
                  <w:vAlign w:val="center"/>
                </w:tcPr>
                <w:p>
                  <w:pPr>
                    <w:spacing w:line="280" w:lineRule="exact"/>
                    <w:jc w:val="center"/>
                    <w:rPr>
                      <w:szCs w:val="21"/>
                    </w:rPr>
                  </w:pPr>
                  <w:r>
                    <w:rPr>
                      <w:rFonts w:hint="eastAsia"/>
                      <w:szCs w:val="21"/>
                    </w:rPr>
                    <w:t>42</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continue"/>
                  <w:noWrap/>
                  <w:vAlign w:val="center"/>
                </w:tcPr>
                <w:p>
                  <w:pPr>
                    <w:spacing w:line="280" w:lineRule="exact"/>
                    <w:jc w:val="center"/>
                    <w:rPr>
                      <w:snapToGrid w:val="0"/>
                      <w:kern w:val="0"/>
                      <w:szCs w:val="21"/>
                    </w:rPr>
                  </w:pPr>
                </w:p>
              </w:tc>
            </w:tr>
          </w:tbl>
          <w:p>
            <w:pPr>
              <w:spacing w:line="520" w:lineRule="exact"/>
              <w:ind w:firstLine="480" w:firstLineChars="200"/>
              <w:rPr>
                <w:sz w:val="24"/>
                <w:lang w:val="en-GB"/>
              </w:rPr>
            </w:pPr>
            <w:r>
              <w:rPr>
                <w:sz w:val="24"/>
                <w:lang w:val="en-GB"/>
              </w:rPr>
              <w:t>由上表可知，项目厂址四周厂界昼、夜噪声监测值均可以满足《声环境质量标准》（GB3096-2008）</w:t>
            </w:r>
            <w:r>
              <w:rPr>
                <w:sz w:val="24"/>
              </w:rPr>
              <w:t>2</w:t>
            </w:r>
            <w:r>
              <w:rPr>
                <w:sz w:val="24"/>
                <w:lang w:val="en-GB"/>
              </w:rPr>
              <w:t>类标准要求，厂址周围声环境现状较好。</w:t>
            </w:r>
          </w:p>
          <w:p>
            <w:pPr>
              <w:spacing w:line="520" w:lineRule="atLeast"/>
              <w:rPr>
                <w:rFonts w:eastAsia="黑体"/>
                <w:sz w:val="24"/>
              </w:rPr>
            </w:pPr>
            <w:r>
              <w:rPr>
                <w:rFonts w:hint="eastAsia" w:eastAsia="黑体"/>
                <w:sz w:val="24"/>
                <w:lang w:eastAsia="zh-CN"/>
              </w:rPr>
              <w:t>四</w:t>
            </w:r>
            <w:r>
              <w:rPr>
                <w:rFonts w:eastAsia="黑体"/>
                <w:sz w:val="24"/>
              </w:rPr>
              <w:t>、生态环境</w:t>
            </w:r>
          </w:p>
          <w:p>
            <w:pPr>
              <w:spacing w:line="520" w:lineRule="exact"/>
              <w:ind w:firstLine="480" w:firstLineChars="200"/>
              <w:rPr>
                <w:sz w:val="24"/>
              </w:rPr>
            </w:pPr>
            <w:r>
              <w:rPr>
                <w:sz w:val="24"/>
              </w:rPr>
              <w:t>该项目厂址周围生态环境以人工生态环境为主，区域内主要植物以人工栽培的树木、花草和农作物为主，无大型野生动物以及受国家保护的动植物种类。</w:t>
            </w:r>
          </w:p>
          <w:p>
            <w:pPr>
              <w:spacing w:line="520" w:lineRule="exact"/>
              <w:ind w:firstLine="480" w:firstLineChars="200"/>
              <w:rPr>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946" w:type="dxa"/>
            <w:tcBorders>
              <w:top w:val="single" w:color="auto" w:sz="6" w:space="0"/>
            </w:tcBorders>
            <w:noWrap/>
          </w:tcPr>
          <w:p>
            <w:pPr>
              <w:spacing w:line="520" w:lineRule="exact"/>
              <w:rPr>
                <w:b/>
                <w:sz w:val="24"/>
              </w:rPr>
            </w:pPr>
            <w:r>
              <w:rPr>
                <w:b/>
                <w:sz w:val="24"/>
              </w:rPr>
              <w:t>主要环境保护目标(列出名单及保护级别)：</w:t>
            </w:r>
          </w:p>
          <w:p>
            <w:pPr>
              <w:pStyle w:val="80"/>
              <w:spacing w:line="520" w:lineRule="exact"/>
              <w:ind w:firstLine="480" w:firstLineChars="200"/>
              <w:jc w:val="both"/>
              <w:rPr>
                <w:rFonts w:ascii="Times New Roman" w:hAnsi="Times New Roman"/>
                <w:szCs w:val="24"/>
              </w:rPr>
            </w:pPr>
            <w:r>
              <w:rPr>
                <w:rFonts w:ascii="Times New Roman" w:hAnsi="Times New Roman"/>
                <w:szCs w:val="24"/>
              </w:rPr>
              <w:t>根据项目周围环境情况，确定本次环评的环境保护目标。具体保护目标及保护级别见</w:t>
            </w:r>
            <w:r>
              <w:rPr>
                <w:rFonts w:hint="eastAsia" w:ascii="Times New Roman" w:hAnsi="Times New Roman"/>
                <w:szCs w:val="24"/>
              </w:rPr>
              <w:t>下</w:t>
            </w:r>
            <w:r>
              <w:rPr>
                <w:rFonts w:ascii="Times New Roman" w:hAnsi="Times New Roman"/>
                <w:szCs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11</w:t>
            </w:r>
            <w:r>
              <w:rPr>
                <w:rFonts w:eastAsia="黑体"/>
                <w:kern w:val="0"/>
                <w:sz w:val="24"/>
                <w:lang w:val="zh-CN"/>
              </w:rPr>
              <w:t xml:space="preserve">           项目厂区周边主要环境保护目标及保护级别</w:t>
            </w:r>
          </w:p>
          <w:tbl>
            <w:tblPr>
              <w:tblStyle w:val="32"/>
              <w:tblW w:w="872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68"/>
              <w:gridCol w:w="1365"/>
              <w:gridCol w:w="1320"/>
              <w:gridCol w:w="1065"/>
              <w:gridCol w:w="705"/>
              <w:gridCol w:w="938"/>
              <w:gridCol w:w="1125"/>
              <w:gridCol w:w="11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spacing w:line="360" w:lineRule="exact"/>
                    <w:jc w:val="center"/>
                    <w:rPr>
                      <w:szCs w:val="21"/>
                    </w:rPr>
                  </w:pPr>
                  <w:r>
                    <w:rPr>
                      <w:szCs w:val="21"/>
                    </w:rPr>
                    <w:t>名称</w:t>
                  </w:r>
                </w:p>
              </w:tc>
              <w:tc>
                <w:tcPr>
                  <w:tcW w:w="2685" w:type="dxa"/>
                  <w:gridSpan w:val="2"/>
                  <w:tcBorders>
                    <w:top w:val="single" w:color="auto" w:sz="4"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rFonts w:hint="default" w:ascii="Times New Roman" w:hAnsi="Times New Roman" w:cs="Times New Roman"/>
                    </w:rPr>
                    <w:t>坐标</w:t>
                  </w:r>
                </w:p>
              </w:tc>
              <w:tc>
                <w:tcPr>
                  <w:tcW w:w="1065" w:type="dxa"/>
                  <w:vMerge w:val="restart"/>
                  <w:tcBorders>
                    <w:top w:val="single" w:color="auto" w:sz="4" w:space="0"/>
                    <w:left w:val="single" w:color="auto" w:sz="6" w:space="0"/>
                    <w:bottom w:val="single" w:color="auto" w:sz="6" w:space="0"/>
                    <w:right w:val="single" w:color="auto" w:sz="6" w:space="0"/>
                  </w:tcBorders>
                  <w:shd w:val="clear" w:color="auto" w:fill="auto"/>
                  <w:vAlign w:val="center"/>
                </w:tcPr>
                <w:p>
                  <w:pPr>
                    <w:spacing w:line="360" w:lineRule="exact"/>
                    <w:jc w:val="center"/>
                    <w:rPr>
                      <w:szCs w:val="21"/>
                    </w:rPr>
                  </w:pPr>
                  <w:r>
                    <w:rPr>
                      <w:szCs w:val="21"/>
                    </w:rPr>
                    <w:t>保护对象</w:t>
                  </w:r>
                </w:p>
              </w:tc>
              <w:tc>
                <w:tcPr>
                  <w:tcW w:w="705" w:type="dxa"/>
                  <w:vMerge w:val="restart"/>
                  <w:tcBorders>
                    <w:top w:val="single" w:color="auto" w:sz="4"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szCs w:val="21"/>
                    </w:rPr>
                    <w:t>保护内容</w:t>
                  </w:r>
                </w:p>
              </w:tc>
              <w:tc>
                <w:tcPr>
                  <w:tcW w:w="938"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spacing w:line="360" w:lineRule="exact"/>
                    <w:jc w:val="center"/>
                    <w:rPr>
                      <w:szCs w:val="21"/>
                    </w:rPr>
                  </w:pPr>
                  <w:r>
                    <w:rPr>
                      <w:szCs w:val="21"/>
                    </w:rPr>
                    <w:t>环境功能区</w:t>
                  </w:r>
                </w:p>
              </w:tc>
              <w:tc>
                <w:tcPr>
                  <w:tcW w:w="1125" w:type="dxa"/>
                  <w:vMerge w:val="restart"/>
                  <w:tcBorders>
                    <w:top w:val="single" w:color="auto" w:sz="4"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szCs w:val="21"/>
                    </w:rPr>
                    <w:t>相对厂址方位</w:t>
                  </w:r>
                </w:p>
              </w:tc>
              <w:tc>
                <w:tcPr>
                  <w:tcW w:w="1134" w:type="dxa"/>
                  <w:vMerge w:val="restart"/>
                  <w:tcBorders>
                    <w:top w:val="single" w:color="auto" w:sz="4" w:space="0"/>
                    <w:left w:val="single" w:color="auto" w:sz="4" w:space="0"/>
                    <w:bottom w:val="single" w:color="auto" w:sz="6" w:space="0"/>
                    <w:right w:val="single" w:color="auto" w:sz="4" w:space="0"/>
                  </w:tcBorders>
                  <w:shd w:val="clear" w:color="auto" w:fill="auto"/>
                  <w:vAlign w:val="center"/>
                </w:tcPr>
                <w:p>
                  <w:pPr>
                    <w:spacing w:line="360" w:lineRule="exact"/>
                    <w:jc w:val="center"/>
                    <w:rPr>
                      <w:szCs w:val="21"/>
                    </w:rPr>
                  </w:pPr>
                  <w:r>
                    <w:rPr>
                      <w:szCs w:val="21"/>
                    </w:rPr>
                    <w:t>相对厂界距离/m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vMerge w:val="continue"/>
                  <w:tcBorders>
                    <w:top w:val="single" w:color="auto" w:sz="4" w:space="0"/>
                    <w:left w:val="single" w:color="auto" w:sz="4" w:space="0"/>
                    <w:bottom w:val="single" w:color="auto" w:sz="6" w:space="0"/>
                    <w:right w:val="single" w:color="auto" w:sz="6" w:space="0"/>
                  </w:tcBorders>
                  <w:shd w:val="clear" w:color="auto" w:fill="auto"/>
                  <w:vAlign w:val="center"/>
                </w:tcPr>
                <w:p>
                  <w:pPr>
                    <w:rPr>
                      <w:sz w:val="20"/>
                      <w:szCs w:val="20"/>
                    </w:rPr>
                  </w:pP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rFonts w:hint="default" w:ascii="Times New Roman" w:hAnsi="Times New Roman" w:cs="Times New Roman"/>
                    </w:rPr>
                    <w:t>E</w:t>
                  </w:r>
                  <w:r>
                    <w:rPr>
                      <w:rFonts w:hint="default" w:ascii="Times New Roman" w:hAnsi="Times New Roman" w:cs="Times New Roman"/>
                      <w:lang w:eastAsia="zh-CN"/>
                    </w:rPr>
                    <w:t>（</w:t>
                  </w:r>
                  <w:r>
                    <w:rPr>
                      <w:rFonts w:hint="default" w:ascii="Times New Roman" w:hAnsi="Times New Roman" w:cs="Times New Roman"/>
                      <w:lang w:val="en-US" w:eastAsia="zh-CN"/>
                    </w:rPr>
                    <w:t>°</w:t>
                  </w:r>
                  <w:r>
                    <w:rPr>
                      <w:rFonts w:hint="default" w:ascii="Times New Roman" w:hAnsi="Times New Roman" w:cs="Times New Roman"/>
                      <w:lang w:eastAsia="zh-CN"/>
                    </w:rPr>
                    <w:t>）</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szCs w:val="21"/>
                    </w:rPr>
                  </w:pPr>
                  <w:r>
                    <w:rPr>
                      <w:rFonts w:hint="default" w:ascii="Times New Roman" w:hAnsi="Times New Roman" w:cs="Times New Roman"/>
                    </w:rPr>
                    <w:t>N</w:t>
                  </w:r>
                  <w:r>
                    <w:rPr>
                      <w:rFonts w:hint="default" w:ascii="Times New Roman" w:hAnsi="Times New Roman" w:cs="Times New Roman"/>
                      <w:lang w:eastAsia="zh-CN"/>
                    </w:rPr>
                    <w:t>（</w:t>
                  </w:r>
                  <w:r>
                    <w:rPr>
                      <w:rFonts w:hint="default" w:ascii="Times New Roman" w:hAnsi="Times New Roman" w:cs="Times New Roman"/>
                      <w:lang w:val="en-US" w:eastAsia="zh-CN"/>
                    </w:rPr>
                    <w:t>°</w:t>
                  </w:r>
                  <w:r>
                    <w:rPr>
                      <w:rFonts w:hint="default" w:ascii="Times New Roman" w:hAnsi="Times New Roman" w:cs="Times New Roman"/>
                      <w:lang w:eastAsia="zh-CN"/>
                    </w:rPr>
                    <w:t>）</w:t>
                  </w:r>
                </w:p>
              </w:tc>
              <w:tc>
                <w:tcPr>
                  <w:tcW w:w="1065" w:type="dxa"/>
                  <w:vMerge w:val="continue"/>
                  <w:tcBorders>
                    <w:top w:val="single" w:color="auto" w:sz="4" w:space="0"/>
                    <w:left w:val="single" w:color="auto" w:sz="6" w:space="0"/>
                    <w:bottom w:val="single" w:color="auto" w:sz="6" w:space="0"/>
                    <w:right w:val="single" w:color="auto" w:sz="6" w:space="0"/>
                  </w:tcBorders>
                  <w:shd w:val="clear" w:color="auto" w:fill="auto"/>
                  <w:vAlign w:val="center"/>
                </w:tcPr>
                <w:p>
                  <w:pPr>
                    <w:rPr>
                      <w:sz w:val="20"/>
                      <w:szCs w:val="20"/>
                    </w:rPr>
                  </w:pPr>
                </w:p>
              </w:tc>
              <w:tc>
                <w:tcPr>
                  <w:tcW w:w="705" w:type="dxa"/>
                  <w:vMerge w:val="continue"/>
                  <w:tcBorders>
                    <w:top w:val="single" w:color="auto" w:sz="4" w:space="0"/>
                    <w:left w:val="single" w:color="auto" w:sz="6" w:space="0"/>
                    <w:bottom w:val="single" w:color="auto" w:sz="6" w:space="0"/>
                    <w:right w:val="single" w:color="auto" w:sz="4" w:space="0"/>
                  </w:tcBorders>
                  <w:shd w:val="clear" w:color="auto" w:fill="auto"/>
                  <w:vAlign w:val="center"/>
                </w:tcPr>
                <w:p>
                  <w:pPr>
                    <w:rPr>
                      <w:sz w:val="20"/>
                      <w:szCs w:val="20"/>
                    </w:rPr>
                  </w:pPr>
                </w:p>
              </w:tc>
              <w:tc>
                <w:tcPr>
                  <w:tcW w:w="938" w:type="dxa"/>
                  <w:vMerge w:val="continue"/>
                  <w:tcBorders>
                    <w:top w:val="single" w:color="auto" w:sz="4" w:space="0"/>
                    <w:left w:val="single" w:color="auto" w:sz="4" w:space="0"/>
                    <w:bottom w:val="single" w:color="auto" w:sz="6" w:space="0"/>
                    <w:right w:val="single" w:color="auto" w:sz="6" w:space="0"/>
                  </w:tcBorders>
                  <w:shd w:val="clear" w:color="auto" w:fill="auto"/>
                  <w:vAlign w:val="center"/>
                </w:tcPr>
                <w:p>
                  <w:pPr>
                    <w:rPr>
                      <w:sz w:val="20"/>
                      <w:szCs w:val="20"/>
                    </w:rPr>
                  </w:pPr>
                </w:p>
              </w:tc>
              <w:tc>
                <w:tcPr>
                  <w:tcW w:w="1125" w:type="dxa"/>
                  <w:vMerge w:val="continue"/>
                  <w:tcBorders>
                    <w:top w:val="single" w:color="auto" w:sz="4" w:space="0"/>
                    <w:left w:val="single" w:color="auto" w:sz="6" w:space="0"/>
                    <w:bottom w:val="single" w:color="auto" w:sz="6" w:space="0"/>
                    <w:right w:val="single" w:color="auto" w:sz="4" w:space="0"/>
                  </w:tcBorders>
                  <w:shd w:val="clear" w:color="auto" w:fill="auto"/>
                  <w:vAlign w:val="center"/>
                </w:tcPr>
                <w:p>
                  <w:pPr>
                    <w:rPr>
                      <w:sz w:val="20"/>
                      <w:szCs w:val="20"/>
                    </w:rPr>
                  </w:pPr>
                </w:p>
              </w:tc>
              <w:tc>
                <w:tcPr>
                  <w:tcW w:w="1134" w:type="dxa"/>
                  <w:vMerge w:val="continue"/>
                  <w:tcBorders>
                    <w:top w:val="single" w:color="auto" w:sz="4" w:space="0"/>
                    <w:left w:val="single" w:color="auto" w:sz="4" w:space="0"/>
                    <w:bottom w:val="single" w:color="auto" w:sz="6" w:space="0"/>
                    <w:right w:val="single" w:color="auto" w:sz="4" w:space="0"/>
                  </w:tcBorders>
                  <w:shd w:val="clear" w:color="auto" w:fill="auto"/>
                  <w:vAlign w:val="center"/>
                </w:tcPr>
                <w:p>
                  <w:pPr>
                    <w:rPr>
                      <w:sz w:val="20"/>
                      <w:szCs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tcBorders>
                    <w:top w:val="single" w:color="auto" w:sz="4" w:space="0"/>
                    <w:left w:val="single" w:color="auto" w:sz="4" w:space="0"/>
                    <w:bottom w:val="single" w:color="auto" w:sz="6" w:space="0"/>
                    <w:right w:val="single" w:color="auto" w:sz="6" w:space="0"/>
                  </w:tcBorders>
                  <w:shd w:val="clear" w:color="auto" w:fill="auto"/>
                  <w:vAlign w:val="center"/>
                </w:tcPr>
                <w:p>
                  <w:pPr>
                    <w:adjustRightInd w:val="0"/>
                    <w:snapToGrid w:val="0"/>
                    <w:jc w:val="center"/>
                    <w:rPr>
                      <w:color w:val="000000"/>
                      <w:szCs w:val="21"/>
                    </w:rPr>
                  </w:pPr>
                  <w:r>
                    <w:rPr>
                      <w:rFonts w:hint="eastAsia"/>
                      <w:color w:val="000000"/>
                      <w:szCs w:val="21"/>
                    </w:rPr>
                    <w:t>福林庄</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113.024793</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33.683050</w:t>
                  </w:r>
                </w:p>
              </w:tc>
              <w:tc>
                <w:tcPr>
                  <w:tcW w:w="1065" w:type="dxa"/>
                  <w:vMerge w:val="restart"/>
                  <w:tcBorders>
                    <w:top w:val="single" w:color="auto" w:sz="4" w:space="0"/>
                    <w:left w:val="single" w:color="auto" w:sz="6" w:space="0"/>
                    <w:right w:val="single" w:color="auto" w:sz="6" w:space="0"/>
                  </w:tcBorders>
                  <w:shd w:val="clear" w:color="auto" w:fill="auto"/>
                  <w:vAlign w:val="center"/>
                </w:tcPr>
                <w:p>
                  <w:pPr>
                    <w:spacing w:line="360" w:lineRule="exact"/>
                    <w:jc w:val="center"/>
                    <w:rPr>
                      <w:bCs/>
                      <w:szCs w:val="21"/>
                    </w:rPr>
                  </w:pPr>
                  <w:r>
                    <w:rPr>
                      <w:bCs/>
                      <w:szCs w:val="21"/>
                    </w:rPr>
                    <w:t>环境空气</w:t>
                  </w:r>
                </w:p>
              </w:tc>
              <w:tc>
                <w:tcPr>
                  <w:tcW w:w="70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sz w:val="20"/>
                      <w:szCs w:val="20"/>
                    </w:rPr>
                  </w:pPr>
                  <w:r>
                    <w:rPr>
                      <w:rFonts w:hint="eastAsia"/>
                      <w:bCs/>
                      <w:szCs w:val="21"/>
                    </w:rPr>
                    <w:t>居民</w:t>
                  </w:r>
                </w:p>
              </w:tc>
              <w:tc>
                <w:tcPr>
                  <w:tcW w:w="938" w:type="dxa"/>
                  <w:tcBorders>
                    <w:top w:val="single" w:color="auto" w:sz="4" w:space="0"/>
                    <w:left w:val="single" w:color="auto" w:sz="4" w:space="0"/>
                    <w:bottom w:val="single" w:color="auto" w:sz="6" w:space="0"/>
                    <w:right w:val="single" w:color="auto" w:sz="6" w:space="0"/>
                  </w:tcBorders>
                  <w:shd w:val="clear" w:color="auto" w:fill="auto"/>
                  <w:vAlign w:val="center"/>
                </w:tcPr>
                <w:p>
                  <w:pPr>
                    <w:jc w:val="center"/>
                    <w:rPr>
                      <w:sz w:val="20"/>
                      <w:szCs w:val="20"/>
                    </w:rPr>
                  </w:pPr>
                  <w:r>
                    <w:rPr>
                      <w:bCs/>
                      <w:szCs w:val="21"/>
                    </w:rPr>
                    <w:t>二类</w:t>
                  </w:r>
                </w:p>
              </w:tc>
              <w:tc>
                <w:tcPr>
                  <w:tcW w:w="112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sz w:val="20"/>
                      <w:szCs w:val="20"/>
                    </w:rPr>
                  </w:pPr>
                  <w:r>
                    <w:rPr>
                      <w:rFonts w:hint="eastAsia"/>
                      <w:sz w:val="20"/>
                      <w:szCs w:val="20"/>
                    </w:rPr>
                    <w:t>N</w:t>
                  </w: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tcBorders>
                    <w:top w:val="single" w:color="auto" w:sz="4" w:space="0"/>
                    <w:left w:val="single" w:color="auto" w:sz="4" w:space="0"/>
                    <w:bottom w:val="single" w:color="auto" w:sz="6" w:space="0"/>
                    <w:right w:val="single" w:color="auto" w:sz="6" w:space="0"/>
                  </w:tcBorders>
                  <w:shd w:val="clear" w:color="auto" w:fill="auto"/>
                  <w:vAlign w:val="center"/>
                </w:tcPr>
                <w:p>
                  <w:pPr>
                    <w:adjustRightInd w:val="0"/>
                    <w:snapToGrid w:val="0"/>
                    <w:jc w:val="center"/>
                    <w:rPr>
                      <w:rFonts w:hint="eastAsia"/>
                      <w:color w:val="000000"/>
                      <w:szCs w:val="21"/>
                    </w:rPr>
                  </w:pPr>
                  <w:r>
                    <w:rPr>
                      <w:rFonts w:hint="eastAsia"/>
                      <w:color w:val="000000"/>
                      <w:szCs w:val="21"/>
                    </w:rPr>
                    <w:t>小周</w:t>
                  </w:r>
                  <w:r>
                    <w:rPr>
                      <w:color w:val="000000"/>
                      <w:szCs w:val="21"/>
                    </w:rPr>
                    <w:t>楼村</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113.031939</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33.679890</w:t>
                  </w:r>
                </w:p>
              </w:tc>
              <w:tc>
                <w:tcPr>
                  <w:tcW w:w="1065" w:type="dxa"/>
                  <w:vMerge w:val="continue"/>
                  <w:tcBorders>
                    <w:left w:val="single" w:color="auto" w:sz="6" w:space="0"/>
                    <w:right w:val="single" w:color="auto" w:sz="6" w:space="0"/>
                  </w:tcBorders>
                  <w:shd w:val="clear" w:color="auto" w:fill="auto"/>
                  <w:vAlign w:val="center"/>
                </w:tcPr>
                <w:p>
                  <w:pPr>
                    <w:spacing w:line="360" w:lineRule="exact"/>
                    <w:jc w:val="center"/>
                    <w:rPr>
                      <w:bCs/>
                      <w:szCs w:val="21"/>
                    </w:rPr>
                  </w:pPr>
                </w:p>
              </w:tc>
              <w:tc>
                <w:tcPr>
                  <w:tcW w:w="70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eastAsia"/>
                      <w:bCs/>
                      <w:szCs w:val="21"/>
                    </w:rPr>
                  </w:pPr>
                  <w:r>
                    <w:rPr>
                      <w:rFonts w:hint="eastAsia"/>
                      <w:bCs/>
                      <w:szCs w:val="21"/>
                    </w:rPr>
                    <w:t>居民</w:t>
                  </w:r>
                </w:p>
              </w:tc>
              <w:tc>
                <w:tcPr>
                  <w:tcW w:w="938" w:type="dxa"/>
                  <w:tcBorders>
                    <w:top w:val="single" w:color="auto" w:sz="4" w:space="0"/>
                    <w:left w:val="single" w:color="auto" w:sz="4" w:space="0"/>
                    <w:bottom w:val="single" w:color="auto" w:sz="6" w:space="0"/>
                    <w:right w:val="single" w:color="auto" w:sz="6" w:space="0"/>
                  </w:tcBorders>
                  <w:shd w:val="clear" w:color="auto" w:fill="auto"/>
                  <w:vAlign w:val="center"/>
                </w:tcPr>
                <w:p>
                  <w:pPr>
                    <w:jc w:val="center"/>
                    <w:rPr>
                      <w:bCs/>
                      <w:szCs w:val="21"/>
                    </w:rPr>
                  </w:pPr>
                  <w:r>
                    <w:rPr>
                      <w:bCs/>
                      <w:szCs w:val="21"/>
                    </w:rPr>
                    <w:t>二类</w:t>
                  </w:r>
                </w:p>
              </w:tc>
              <w:tc>
                <w:tcPr>
                  <w:tcW w:w="112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eastAsia"/>
                      <w:sz w:val="20"/>
                      <w:szCs w:val="20"/>
                    </w:rPr>
                  </w:pPr>
                  <w:r>
                    <w:rPr>
                      <w:bCs/>
                      <w:kern w:val="0"/>
                      <w:szCs w:val="21"/>
                    </w:rPr>
                    <w:t>E</w:t>
                  </w: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620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tcBorders>
                    <w:top w:val="single" w:color="auto" w:sz="4" w:space="0"/>
                    <w:left w:val="single" w:color="auto" w:sz="4" w:space="0"/>
                    <w:bottom w:val="single" w:color="auto" w:sz="6" w:space="0"/>
                    <w:right w:val="single" w:color="auto" w:sz="6" w:space="0"/>
                  </w:tcBorders>
                  <w:shd w:val="clear" w:color="auto" w:fill="auto"/>
                  <w:vAlign w:val="center"/>
                </w:tcPr>
                <w:p>
                  <w:pPr>
                    <w:adjustRightInd w:val="0"/>
                    <w:snapToGrid w:val="0"/>
                    <w:jc w:val="center"/>
                    <w:rPr>
                      <w:rFonts w:hint="eastAsia" w:eastAsia="宋体"/>
                      <w:color w:val="000000"/>
                      <w:szCs w:val="21"/>
                      <w:lang w:eastAsia="zh-CN"/>
                    </w:rPr>
                  </w:pPr>
                  <w:r>
                    <w:rPr>
                      <w:rFonts w:hint="eastAsia"/>
                      <w:color w:val="000000"/>
                      <w:szCs w:val="21"/>
                      <w:lang w:eastAsia="zh-CN"/>
                    </w:rPr>
                    <w:t>西营村</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113.026059</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33.669051</w:t>
                  </w:r>
                </w:p>
              </w:tc>
              <w:tc>
                <w:tcPr>
                  <w:tcW w:w="1065" w:type="dxa"/>
                  <w:vMerge w:val="continue"/>
                  <w:tcBorders>
                    <w:left w:val="single" w:color="auto" w:sz="6" w:space="0"/>
                    <w:right w:val="single" w:color="auto" w:sz="6" w:space="0"/>
                  </w:tcBorders>
                  <w:shd w:val="clear" w:color="auto" w:fill="auto"/>
                  <w:vAlign w:val="center"/>
                </w:tcPr>
                <w:p>
                  <w:pPr>
                    <w:spacing w:line="360" w:lineRule="exact"/>
                    <w:jc w:val="center"/>
                    <w:rPr>
                      <w:bCs/>
                      <w:szCs w:val="21"/>
                    </w:rPr>
                  </w:pPr>
                </w:p>
              </w:tc>
              <w:tc>
                <w:tcPr>
                  <w:tcW w:w="70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eastAsia"/>
                      <w:bCs/>
                      <w:szCs w:val="21"/>
                    </w:rPr>
                  </w:pPr>
                  <w:r>
                    <w:rPr>
                      <w:rFonts w:hint="eastAsia"/>
                      <w:bCs/>
                      <w:szCs w:val="21"/>
                    </w:rPr>
                    <w:t>居民</w:t>
                  </w:r>
                </w:p>
              </w:tc>
              <w:tc>
                <w:tcPr>
                  <w:tcW w:w="938" w:type="dxa"/>
                  <w:tcBorders>
                    <w:top w:val="single" w:color="auto" w:sz="4" w:space="0"/>
                    <w:left w:val="single" w:color="auto" w:sz="4" w:space="0"/>
                    <w:bottom w:val="single" w:color="auto" w:sz="6" w:space="0"/>
                    <w:right w:val="single" w:color="auto" w:sz="6" w:space="0"/>
                  </w:tcBorders>
                  <w:shd w:val="clear" w:color="auto" w:fill="auto"/>
                  <w:vAlign w:val="center"/>
                </w:tcPr>
                <w:p>
                  <w:pPr>
                    <w:jc w:val="center"/>
                    <w:rPr>
                      <w:bCs/>
                      <w:szCs w:val="21"/>
                    </w:rPr>
                  </w:pPr>
                  <w:r>
                    <w:rPr>
                      <w:bCs/>
                      <w:szCs w:val="21"/>
                    </w:rPr>
                    <w:t>二类</w:t>
                  </w:r>
                </w:p>
              </w:tc>
              <w:tc>
                <w:tcPr>
                  <w:tcW w:w="112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bCs/>
                      <w:kern w:val="0"/>
                      <w:szCs w:val="21"/>
                      <w:lang w:val="en-US" w:eastAsia="zh-CN"/>
                    </w:rPr>
                    <w:t>SE</w:t>
                  </w: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68" w:type="dxa"/>
                  <w:tcBorders>
                    <w:top w:val="single" w:color="auto" w:sz="6" w:space="0"/>
                    <w:left w:val="single" w:color="auto" w:sz="4" w:space="0"/>
                    <w:bottom w:val="single" w:color="auto" w:sz="6" w:space="0"/>
                    <w:right w:val="single" w:color="auto" w:sz="6" w:space="0"/>
                  </w:tcBorders>
                  <w:shd w:val="clear" w:color="auto" w:fill="auto"/>
                  <w:vAlign w:val="center"/>
                </w:tcPr>
                <w:p>
                  <w:pPr>
                    <w:adjustRightInd w:val="0"/>
                    <w:snapToGrid w:val="0"/>
                    <w:jc w:val="center"/>
                    <w:rPr>
                      <w:rFonts w:hint="eastAsia" w:eastAsia="宋体"/>
                      <w:color w:val="000000"/>
                      <w:szCs w:val="21"/>
                      <w:lang w:eastAsia="zh-CN"/>
                    </w:rPr>
                  </w:pPr>
                  <w:r>
                    <w:rPr>
                      <w:rFonts w:hint="eastAsia"/>
                      <w:color w:val="000000"/>
                      <w:szCs w:val="21"/>
                      <w:lang w:eastAsia="zh-CN"/>
                    </w:rPr>
                    <w:t>麦庄村</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bCs/>
                      <w:szCs w:val="21"/>
                      <w:lang w:val="en-US" w:eastAsia="zh-CN"/>
                    </w:rPr>
                  </w:pPr>
                  <w:r>
                    <w:rPr>
                      <w:rFonts w:hint="eastAsia"/>
                      <w:bCs/>
                      <w:szCs w:val="21"/>
                      <w:lang w:val="en-US" w:eastAsia="zh-CN"/>
                    </w:rPr>
                    <w:t>113.013421</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bCs/>
                      <w:szCs w:val="21"/>
                      <w:lang w:val="en-US" w:eastAsia="zh-CN"/>
                    </w:rPr>
                  </w:pPr>
                  <w:r>
                    <w:rPr>
                      <w:rFonts w:hint="eastAsia"/>
                      <w:bCs/>
                      <w:szCs w:val="21"/>
                      <w:lang w:val="en-US" w:eastAsia="zh-CN"/>
                    </w:rPr>
                    <w:t>33.669944</w:t>
                  </w:r>
                </w:p>
              </w:tc>
              <w:tc>
                <w:tcPr>
                  <w:tcW w:w="1065" w:type="dxa"/>
                  <w:vMerge w:val="continue"/>
                  <w:tcBorders>
                    <w:left w:val="single" w:color="auto" w:sz="6" w:space="0"/>
                    <w:bottom w:val="single" w:color="auto" w:sz="6" w:space="0"/>
                    <w:right w:val="single" w:color="auto" w:sz="6" w:space="0"/>
                  </w:tcBorders>
                  <w:shd w:val="clear" w:color="auto" w:fill="auto"/>
                  <w:vAlign w:val="center"/>
                </w:tcPr>
                <w:p>
                  <w:pPr>
                    <w:spacing w:line="360" w:lineRule="exact"/>
                    <w:jc w:val="center"/>
                    <w:rPr>
                      <w:bCs/>
                      <w:szCs w:val="21"/>
                    </w:rPr>
                  </w:pPr>
                </w:p>
              </w:tc>
              <w:tc>
                <w:tcPr>
                  <w:tcW w:w="70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bCs/>
                      <w:szCs w:val="21"/>
                    </w:rPr>
                  </w:pPr>
                  <w:r>
                    <w:rPr>
                      <w:rFonts w:hint="eastAsia"/>
                      <w:bCs/>
                      <w:szCs w:val="21"/>
                    </w:rPr>
                    <w:t>居民</w:t>
                  </w:r>
                </w:p>
              </w:tc>
              <w:tc>
                <w:tcPr>
                  <w:tcW w:w="938" w:type="dxa"/>
                  <w:tcBorders>
                    <w:top w:val="single" w:color="auto" w:sz="6" w:space="0"/>
                    <w:left w:val="single" w:color="auto" w:sz="4" w:space="0"/>
                    <w:bottom w:val="single" w:color="auto" w:sz="6" w:space="0"/>
                    <w:right w:val="single" w:color="auto" w:sz="6" w:space="0"/>
                  </w:tcBorders>
                  <w:shd w:val="clear" w:color="auto" w:fill="auto"/>
                  <w:vAlign w:val="center"/>
                </w:tcPr>
                <w:p>
                  <w:pPr>
                    <w:spacing w:line="360" w:lineRule="exact"/>
                    <w:jc w:val="center"/>
                    <w:rPr>
                      <w:bCs/>
                      <w:szCs w:val="21"/>
                    </w:rPr>
                  </w:pPr>
                  <w:r>
                    <w:rPr>
                      <w:bCs/>
                      <w:szCs w:val="21"/>
                    </w:rPr>
                    <w:t>二类</w:t>
                  </w:r>
                </w:p>
              </w:tc>
              <w:tc>
                <w:tcPr>
                  <w:tcW w:w="1125"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rFonts w:hint="default" w:eastAsia="宋体"/>
                      <w:bCs/>
                      <w:szCs w:val="21"/>
                      <w:lang w:val="en-US" w:eastAsia="zh-CN"/>
                    </w:rPr>
                  </w:pPr>
                  <w:r>
                    <w:rPr>
                      <w:rFonts w:hint="eastAsia"/>
                      <w:bCs/>
                      <w:szCs w:val="21"/>
                      <w:lang w:val="en-US" w:eastAsia="zh-CN"/>
                    </w:rPr>
                    <w:t>SW</w:t>
                  </w:r>
                </w:p>
              </w:tc>
              <w:tc>
                <w:tcPr>
                  <w:tcW w:w="1134"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rFonts w:hint="default" w:eastAsia="宋体"/>
                      <w:bCs/>
                      <w:szCs w:val="21"/>
                      <w:lang w:val="en-US" w:eastAsia="zh-CN"/>
                    </w:rPr>
                  </w:pPr>
                  <w:r>
                    <w:rPr>
                      <w:rFonts w:hint="eastAsia"/>
                      <w:bCs/>
                      <w:szCs w:val="21"/>
                      <w:lang w:val="en-US" w:eastAsia="zh-CN"/>
                    </w:rPr>
                    <w:t>730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68" w:type="dxa"/>
                  <w:tcBorders>
                    <w:top w:val="single" w:color="auto" w:sz="6" w:space="0"/>
                    <w:left w:val="single" w:color="auto" w:sz="4" w:space="0"/>
                    <w:bottom w:val="single" w:color="auto" w:sz="6" w:space="0"/>
                    <w:right w:val="single" w:color="auto" w:sz="6" w:space="0"/>
                  </w:tcBorders>
                  <w:shd w:val="clear" w:color="auto" w:fill="auto"/>
                  <w:vAlign w:val="center"/>
                </w:tcPr>
                <w:p>
                  <w:pPr>
                    <w:spacing w:line="360" w:lineRule="exact"/>
                    <w:jc w:val="center"/>
                    <w:rPr>
                      <w:szCs w:val="21"/>
                    </w:rPr>
                  </w:pPr>
                  <w:r>
                    <w:rPr>
                      <w:color w:val="000000"/>
                      <w:sz w:val="24"/>
                      <w:szCs w:val="24"/>
                    </w:rPr>
                    <w:t>澎河</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bCs/>
                      <w:szCs w:val="21"/>
                    </w:rPr>
                  </w:pPr>
                  <w:r>
                    <w:rPr>
                      <w:bCs/>
                      <w:szCs w:val="21"/>
                    </w:rPr>
                    <w:t>/</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bCs/>
                      <w:szCs w:val="21"/>
                    </w:rPr>
                  </w:pPr>
                  <w:r>
                    <w:rPr>
                      <w:bCs/>
                      <w:szCs w:val="21"/>
                    </w:rPr>
                    <w:t>/</w:t>
                  </w:r>
                </w:p>
              </w:tc>
              <w:tc>
                <w:tcPr>
                  <w:tcW w:w="106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60" w:lineRule="exact"/>
                    <w:jc w:val="center"/>
                    <w:rPr>
                      <w:bCs/>
                      <w:szCs w:val="21"/>
                    </w:rPr>
                  </w:pPr>
                  <w:r>
                    <w:rPr>
                      <w:szCs w:val="21"/>
                    </w:rPr>
                    <w:t>水环境</w:t>
                  </w:r>
                </w:p>
              </w:tc>
              <w:tc>
                <w:tcPr>
                  <w:tcW w:w="70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bCs/>
                      <w:szCs w:val="21"/>
                    </w:rPr>
                  </w:pPr>
                  <w:r>
                    <w:rPr>
                      <w:bCs/>
                      <w:szCs w:val="21"/>
                    </w:rPr>
                    <w:t>/</w:t>
                  </w:r>
                </w:p>
              </w:tc>
              <w:tc>
                <w:tcPr>
                  <w:tcW w:w="938" w:type="dxa"/>
                  <w:tcBorders>
                    <w:top w:val="single" w:color="auto" w:sz="6" w:space="0"/>
                    <w:left w:val="single" w:color="auto" w:sz="4" w:space="0"/>
                    <w:bottom w:val="single" w:color="auto" w:sz="6" w:space="0"/>
                    <w:right w:val="single" w:color="auto" w:sz="6" w:space="0"/>
                  </w:tcBorders>
                  <w:shd w:val="clear" w:color="auto" w:fill="auto"/>
                  <w:vAlign w:val="center"/>
                </w:tcPr>
                <w:p>
                  <w:pPr>
                    <w:spacing w:line="360" w:lineRule="exact"/>
                    <w:jc w:val="center"/>
                    <w:rPr>
                      <w:bCs/>
                      <w:szCs w:val="21"/>
                    </w:rPr>
                  </w:pPr>
                  <w:r>
                    <w:rPr>
                      <w:szCs w:val="21"/>
                    </w:rPr>
                    <w:t>III类</w:t>
                  </w:r>
                </w:p>
              </w:tc>
              <w:tc>
                <w:tcPr>
                  <w:tcW w:w="1125"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bCs/>
                      <w:kern w:val="0"/>
                      <w:szCs w:val="21"/>
                    </w:rPr>
                  </w:pPr>
                  <w:r>
                    <w:rPr>
                      <w:rFonts w:hint="eastAsia"/>
                      <w:szCs w:val="21"/>
                    </w:rPr>
                    <w:t>S</w:t>
                  </w:r>
                </w:p>
              </w:tc>
              <w:tc>
                <w:tcPr>
                  <w:tcW w:w="1134"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bCs/>
                      <w:szCs w:val="21"/>
                    </w:rPr>
                  </w:pPr>
                  <w:r>
                    <w:rPr>
                      <w:rFonts w:hint="eastAsia"/>
                      <w:szCs w:val="21"/>
                    </w:rPr>
                    <w:t>50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38" w:hRule="atLeast"/>
                <w:jc w:val="center"/>
              </w:trPr>
              <w:tc>
                <w:tcPr>
                  <w:tcW w:w="1068"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kern w:val="0"/>
                      <w:szCs w:val="21"/>
                    </w:rPr>
                  </w:pPr>
                  <w:r>
                    <w:rPr>
                      <w:szCs w:val="21"/>
                    </w:rPr>
                    <w:t>厂界四周</w:t>
                  </w:r>
                </w:p>
              </w:tc>
              <w:tc>
                <w:tcPr>
                  <w:tcW w:w="136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zCs w:val="21"/>
                    </w:rPr>
                  </w:pPr>
                  <w:r>
                    <w:rPr>
                      <w:szCs w:val="21"/>
                    </w:rPr>
                    <w:t>/</w:t>
                  </w:r>
                </w:p>
              </w:tc>
              <w:tc>
                <w:tcPr>
                  <w:tcW w:w="1320" w:type="dxa"/>
                  <w:tcBorders>
                    <w:top w:val="single" w:color="auto" w:sz="6"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w:t>
                  </w:r>
                </w:p>
              </w:tc>
              <w:tc>
                <w:tcPr>
                  <w:tcW w:w="1065"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60" w:lineRule="exact"/>
                    <w:jc w:val="center"/>
                    <w:rPr>
                      <w:szCs w:val="21"/>
                    </w:rPr>
                  </w:pPr>
                  <w:r>
                    <w:rPr>
                      <w:szCs w:val="21"/>
                    </w:rPr>
                    <w:t>声环境</w:t>
                  </w:r>
                </w:p>
              </w:tc>
              <w:tc>
                <w:tcPr>
                  <w:tcW w:w="70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zCs w:val="21"/>
                    </w:rPr>
                  </w:pPr>
                  <w:r>
                    <w:rPr>
                      <w:szCs w:val="21"/>
                    </w:rPr>
                    <w:t>/</w:t>
                  </w:r>
                </w:p>
              </w:tc>
              <w:tc>
                <w:tcPr>
                  <w:tcW w:w="938"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szCs w:val="21"/>
                    </w:rPr>
                  </w:pPr>
                  <w:r>
                    <w:rPr>
                      <w:szCs w:val="21"/>
                    </w:rPr>
                    <w:t>2类</w:t>
                  </w:r>
                </w:p>
              </w:tc>
              <w:tc>
                <w:tcPr>
                  <w:tcW w:w="1125" w:type="dxa"/>
                  <w:tcBorders>
                    <w:top w:val="single" w:color="auto" w:sz="6" w:space="0"/>
                    <w:left w:val="single" w:color="auto" w:sz="6" w:space="0"/>
                    <w:bottom w:val="single" w:color="auto" w:sz="4" w:space="0"/>
                    <w:right w:val="single" w:color="auto" w:sz="4" w:space="0"/>
                  </w:tcBorders>
                  <w:shd w:val="clear" w:color="auto" w:fill="auto"/>
                  <w:vAlign w:val="center"/>
                </w:tcPr>
                <w:p>
                  <w:pPr>
                    <w:autoSpaceDE w:val="0"/>
                    <w:autoSpaceDN w:val="0"/>
                    <w:adjustRightInd w:val="0"/>
                    <w:snapToGrid w:val="0"/>
                    <w:spacing w:line="360" w:lineRule="exact"/>
                    <w:jc w:val="center"/>
                    <w:rPr>
                      <w:szCs w:val="21"/>
                    </w:rPr>
                  </w:pPr>
                  <w:r>
                    <w:rPr>
                      <w:kern w:val="0"/>
                      <w:szCs w:val="21"/>
                    </w:rPr>
                    <w:t>/</w:t>
                  </w:r>
                </w:p>
              </w:tc>
              <w:tc>
                <w:tcPr>
                  <w:tcW w:w="1134" w:type="dxa"/>
                  <w:tcBorders>
                    <w:top w:val="single" w:color="auto" w:sz="6"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360" w:lineRule="exact"/>
                    <w:jc w:val="center"/>
                    <w:rPr>
                      <w:rFonts w:hint="default" w:eastAsia="宋体"/>
                      <w:szCs w:val="21"/>
                      <w:lang w:val="en-US" w:eastAsia="zh-CN"/>
                    </w:rPr>
                  </w:pPr>
                  <w:r>
                    <w:rPr>
                      <w:rFonts w:hint="eastAsia"/>
                      <w:szCs w:val="21"/>
                      <w:lang w:val="en-US" w:eastAsia="zh-CN"/>
                    </w:rPr>
                    <w:t>1</w:t>
                  </w:r>
                </w:p>
              </w:tc>
            </w:tr>
          </w:tbl>
          <w:p>
            <w:pPr>
              <w:tabs>
                <w:tab w:val="left" w:pos="1800"/>
              </w:tabs>
              <w:spacing w:line="520" w:lineRule="atLeast"/>
            </w:pPr>
            <w:r>
              <w:tab/>
            </w:r>
          </w:p>
          <w:p>
            <w:pPr>
              <w:spacing w:line="520" w:lineRule="exact"/>
              <w:rPr>
                <w:sz w:val="24"/>
              </w:rPr>
            </w:pPr>
          </w:p>
          <w:p>
            <w:pPr>
              <w:spacing w:line="520" w:lineRule="exact"/>
              <w:rPr>
                <w:sz w:val="24"/>
              </w:rPr>
            </w:pPr>
          </w:p>
          <w:p>
            <w:pPr>
              <w:spacing w:line="520" w:lineRule="exact"/>
              <w:rPr>
                <w:sz w:val="24"/>
              </w:rPr>
            </w:pPr>
          </w:p>
          <w:p>
            <w:pPr>
              <w:pStyle w:val="18"/>
              <w:rPr>
                <w:sz w:val="24"/>
              </w:rPr>
            </w:pPr>
          </w:p>
          <w:p>
            <w:pPr>
              <w:pStyle w:val="18"/>
              <w:rPr>
                <w:sz w:val="24"/>
              </w:rPr>
            </w:pPr>
          </w:p>
          <w:p>
            <w:pPr>
              <w:pStyle w:val="18"/>
              <w:rPr>
                <w:sz w:val="24"/>
              </w:rPr>
            </w:pPr>
          </w:p>
          <w:p>
            <w:pPr>
              <w:pStyle w:val="18"/>
              <w:rPr>
                <w:sz w:val="24"/>
              </w:rPr>
            </w:pPr>
          </w:p>
          <w:p>
            <w:pPr>
              <w:pStyle w:val="18"/>
              <w:rPr>
                <w:sz w:val="24"/>
              </w:rPr>
            </w:pPr>
          </w:p>
          <w:p>
            <w:pPr>
              <w:spacing w:line="520" w:lineRule="exact"/>
              <w:rPr>
                <w:sz w:val="24"/>
              </w:rPr>
            </w:pPr>
          </w:p>
          <w:p>
            <w:pPr>
              <w:spacing w:line="100" w:lineRule="exact"/>
              <w:rPr>
                <w:sz w:val="24"/>
              </w:rPr>
            </w:pPr>
          </w:p>
        </w:tc>
      </w:tr>
    </w:tbl>
    <w:p>
      <w:pPr>
        <w:spacing w:line="360" w:lineRule="auto"/>
        <w:rPr>
          <w:rFonts w:eastAsia="黑体"/>
          <w:b/>
          <w:sz w:val="30"/>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评价适用标准</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2"/>
        <w:gridCol w:w="81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75" w:hRule="atLeast"/>
        </w:trPr>
        <w:tc>
          <w:tcPr>
            <w:tcW w:w="802" w:type="dxa"/>
            <w:tcBorders>
              <w:bottom w:val="single" w:color="auto" w:sz="6" w:space="0"/>
            </w:tcBorders>
            <w:noWrap/>
            <w:vAlign w:val="center"/>
          </w:tcPr>
          <w:p>
            <w:pPr>
              <w:spacing w:line="520" w:lineRule="exact"/>
              <w:jc w:val="center"/>
              <w:rPr>
                <w:b/>
                <w:bCs/>
                <w:sz w:val="24"/>
              </w:rPr>
            </w:pPr>
            <w:r>
              <w:rPr>
                <w:b/>
                <w:bCs/>
                <w:sz w:val="24"/>
              </w:rPr>
              <w:t>环</w:t>
            </w:r>
          </w:p>
          <w:p>
            <w:pPr>
              <w:spacing w:line="520" w:lineRule="exact"/>
              <w:jc w:val="center"/>
              <w:rPr>
                <w:b/>
                <w:bCs/>
                <w:sz w:val="24"/>
              </w:rPr>
            </w:pPr>
            <w:r>
              <w:rPr>
                <w:b/>
                <w:bCs/>
                <w:sz w:val="24"/>
              </w:rPr>
              <w:t>境</w:t>
            </w:r>
          </w:p>
          <w:p>
            <w:pPr>
              <w:spacing w:line="520" w:lineRule="exact"/>
              <w:jc w:val="center"/>
              <w:rPr>
                <w:b/>
                <w:bCs/>
                <w:sz w:val="24"/>
              </w:rPr>
            </w:pPr>
            <w:r>
              <w:rPr>
                <w:b/>
                <w:bCs/>
                <w:sz w:val="24"/>
              </w:rPr>
              <w:t>质</w:t>
            </w:r>
          </w:p>
          <w:p>
            <w:pPr>
              <w:spacing w:line="520" w:lineRule="exact"/>
              <w:jc w:val="center"/>
              <w:rPr>
                <w:b/>
                <w:bCs/>
                <w:sz w:val="24"/>
              </w:rPr>
            </w:pPr>
            <w:r>
              <w:rPr>
                <w:b/>
                <w:bCs/>
                <w:sz w:val="24"/>
              </w:rPr>
              <w:t>量</w:t>
            </w:r>
          </w:p>
          <w:p>
            <w:pPr>
              <w:spacing w:line="520" w:lineRule="exact"/>
              <w:jc w:val="center"/>
              <w:rPr>
                <w:b/>
                <w:bCs/>
                <w:sz w:val="24"/>
              </w:rPr>
            </w:pPr>
            <w:r>
              <w:rPr>
                <w:b/>
                <w:bCs/>
                <w:sz w:val="24"/>
              </w:rPr>
              <w:t>标</w:t>
            </w:r>
          </w:p>
          <w:p>
            <w:pPr>
              <w:spacing w:line="520" w:lineRule="exact"/>
              <w:jc w:val="center"/>
              <w:rPr>
                <w:sz w:val="24"/>
              </w:rPr>
            </w:pPr>
            <w:r>
              <w:rPr>
                <w:b/>
                <w:bCs/>
                <w:sz w:val="24"/>
              </w:rPr>
              <w:t>准</w:t>
            </w:r>
          </w:p>
        </w:tc>
        <w:tc>
          <w:tcPr>
            <w:tcW w:w="8144" w:type="dxa"/>
            <w:tcBorders>
              <w:bottom w:val="single" w:color="auto" w:sz="6" w:space="0"/>
            </w:tcBorders>
            <w:noWrap/>
            <w:vAlign w:val="center"/>
          </w:tcPr>
          <w:p>
            <w:pPr>
              <w:spacing w:line="520" w:lineRule="exact"/>
              <w:ind w:firstLine="482" w:firstLineChars="200"/>
              <w:rPr>
                <w:b/>
                <w:sz w:val="24"/>
              </w:rPr>
            </w:pPr>
            <w:r>
              <w:rPr>
                <w:b/>
                <w:sz w:val="24"/>
              </w:rPr>
              <w:t>1、环境空气</w:t>
            </w:r>
          </w:p>
          <w:p>
            <w:pPr>
              <w:spacing w:line="520" w:lineRule="exact"/>
              <w:ind w:firstLine="480" w:firstLineChars="200"/>
              <w:rPr>
                <w:sz w:val="24"/>
              </w:rPr>
            </w:pPr>
            <w:r>
              <w:rPr>
                <w:sz w:val="24"/>
              </w:rPr>
              <w:t>大气环境执行《环境空气质量标准》（GB3095-2012）二级标准，有关标准值见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12</w:t>
            </w:r>
            <w:r>
              <w:rPr>
                <w:rFonts w:eastAsia="黑体"/>
                <w:kern w:val="0"/>
                <w:sz w:val="24"/>
              </w:rPr>
              <w:t xml:space="preserve">              环境空气质量标准               单位：µg/m</w:t>
            </w:r>
            <w:r>
              <w:rPr>
                <w:rFonts w:eastAsia="黑体"/>
                <w:kern w:val="0"/>
                <w:sz w:val="24"/>
                <w:vertAlign w:val="superscript"/>
              </w:rPr>
              <w:t>3</w:t>
            </w:r>
          </w:p>
          <w:tbl>
            <w:tblPr>
              <w:tblStyle w:val="32"/>
              <w:tblW w:w="7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1782"/>
              <w:gridCol w:w="1371"/>
              <w:gridCol w:w="2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noWrap/>
                  <w:vAlign w:val="center"/>
                </w:tcPr>
                <w:p>
                  <w:pPr>
                    <w:jc w:val="center"/>
                    <w:rPr>
                      <w:szCs w:val="21"/>
                    </w:rPr>
                  </w:pPr>
                  <w:r>
                    <w:rPr>
                      <w:szCs w:val="21"/>
                    </w:rPr>
                    <w:t>污染物名称</w:t>
                  </w:r>
                </w:p>
              </w:tc>
              <w:tc>
                <w:tcPr>
                  <w:tcW w:w="1782" w:type="dxa"/>
                  <w:noWrap/>
                  <w:vAlign w:val="center"/>
                </w:tcPr>
                <w:p>
                  <w:pPr>
                    <w:jc w:val="center"/>
                    <w:rPr>
                      <w:szCs w:val="21"/>
                    </w:rPr>
                  </w:pPr>
                  <w:r>
                    <w:rPr>
                      <w:szCs w:val="21"/>
                    </w:rPr>
                    <w:t>取值时间</w:t>
                  </w:r>
                </w:p>
              </w:tc>
              <w:tc>
                <w:tcPr>
                  <w:tcW w:w="1371" w:type="dxa"/>
                  <w:noWrap/>
                  <w:vAlign w:val="center"/>
                </w:tcPr>
                <w:p>
                  <w:pPr>
                    <w:jc w:val="center"/>
                    <w:rPr>
                      <w:szCs w:val="21"/>
                    </w:rPr>
                  </w:pPr>
                  <w:r>
                    <w:rPr>
                      <w:szCs w:val="21"/>
                    </w:rPr>
                    <w:t>浓度限值</w:t>
                  </w:r>
                </w:p>
              </w:tc>
              <w:tc>
                <w:tcPr>
                  <w:tcW w:w="2838" w:type="dxa"/>
                  <w:noWrap/>
                  <w:vAlign w:val="center"/>
                </w:tcPr>
                <w:p>
                  <w:pPr>
                    <w:jc w:val="center"/>
                    <w:rPr>
                      <w:szCs w:val="21"/>
                    </w:rPr>
                  </w:pPr>
                  <w:r>
                    <w:rPr>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二氧化硫</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60</w:t>
                  </w:r>
                </w:p>
              </w:tc>
              <w:tc>
                <w:tcPr>
                  <w:tcW w:w="2838" w:type="dxa"/>
                  <w:vMerge w:val="restart"/>
                  <w:noWrap/>
                  <w:vAlign w:val="center"/>
                </w:tcPr>
                <w:p>
                  <w:pPr>
                    <w:jc w:val="center"/>
                    <w:rPr>
                      <w:rFonts w:hint="eastAsia" w:eastAsia="宋体"/>
                      <w:szCs w:val="21"/>
                      <w:lang w:eastAsia="zh-CN"/>
                    </w:rPr>
                  </w:pPr>
                  <w:r>
                    <w:rPr>
                      <w:szCs w:val="21"/>
                    </w:rPr>
                    <w:t>《环境空气质量标准》（GB3095-2012）二级标准</w:t>
                  </w:r>
                  <w:r>
                    <w:rPr>
                      <w:rFonts w:hint="eastAsia"/>
                      <w:szCs w:val="21"/>
                      <w:lang w:eastAsia="zh-CN"/>
                    </w:rPr>
                    <w:t>及修改单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150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1小时平均</w:t>
                  </w:r>
                </w:p>
              </w:tc>
              <w:tc>
                <w:tcPr>
                  <w:tcW w:w="1371" w:type="dxa"/>
                  <w:noWrap/>
                  <w:vAlign w:val="center"/>
                </w:tcPr>
                <w:p>
                  <w:pPr>
                    <w:jc w:val="center"/>
                    <w:rPr>
                      <w:szCs w:val="21"/>
                    </w:rPr>
                  </w:pPr>
                  <w:r>
                    <w:rPr>
                      <w:szCs w:val="21"/>
                    </w:rPr>
                    <w:t>500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总悬浮颗粒物</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200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300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颗粒物（粒径小于等于10µm）</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70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150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二氧化氮</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40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80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1小时平均</w:t>
                  </w:r>
                </w:p>
              </w:tc>
              <w:tc>
                <w:tcPr>
                  <w:tcW w:w="1371" w:type="dxa"/>
                  <w:noWrap/>
                  <w:vAlign w:val="center"/>
                </w:tcPr>
                <w:p>
                  <w:pPr>
                    <w:jc w:val="center"/>
                    <w:rPr>
                      <w:szCs w:val="21"/>
                    </w:rPr>
                  </w:pPr>
                  <w:r>
                    <w:rPr>
                      <w:szCs w:val="21"/>
                    </w:rPr>
                    <w:t>200</w:t>
                  </w:r>
                </w:p>
              </w:tc>
              <w:tc>
                <w:tcPr>
                  <w:tcW w:w="2838" w:type="dxa"/>
                  <w:vMerge w:val="continue"/>
                  <w:noWrap/>
                  <w:vAlign w:val="center"/>
                </w:tcPr>
                <w:p>
                  <w:pPr>
                    <w:jc w:val="center"/>
                    <w:rPr>
                      <w:szCs w:val="21"/>
                    </w:rPr>
                  </w:pPr>
                </w:p>
              </w:tc>
            </w:tr>
          </w:tbl>
          <w:p>
            <w:pPr>
              <w:spacing w:line="520" w:lineRule="exact"/>
              <w:ind w:firstLine="482" w:firstLineChars="200"/>
              <w:rPr>
                <w:b/>
                <w:sz w:val="24"/>
              </w:rPr>
            </w:pPr>
            <w:r>
              <w:rPr>
                <w:b/>
                <w:sz w:val="24"/>
              </w:rPr>
              <w:t>2、水环境</w:t>
            </w:r>
          </w:p>
          <w:p>
            <w:pPr>
              <w:spacing w:line="520" w:lineRule="exact"/>
              <w:ind w:firstLine="480" w:firstLineChars="200"/>
              <w:rPr>
                <w:sz w:val="24"/>
              </w:rPr>
            </w:pPr>
            <w:r>
              <w:rPr>
                <w:sz w:val="24"/>
              </w:rPr>
              <w:t>地表水执行《地表水环境质量标准》（GB3838-2002）III类标准，具体标准限值见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13</w:t>
            </w:r>
            <w:r>
              <w:rPr>
                <w:rFonts w:eastAsia="黑体"/>
                <w:kern w:val="0"/>
                <w:sz w:val="24"/>
              </w:rPr>
              <w:t xml:space="preserve">          地表水环境质量标准                单位：mg/L</w:t>
            </w:r>
          </w:p>
          <w:tbl>
            <w:tblPr>
              <w:tblStyle w:val="32"/>
              <w:tblW w:w="7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2639"/>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2639" w:type="dxa"/>
                  <w:noWrap/>
                  <w:vAlign w:val="center"/>
                </w:tcPr>
                <w:p>
                  <w:pPr>
                    <w:spacing w:line="240" w:lineRule="exact"/>
                    <w:jc w:val="center"/>
                    <w:rPr>
                      <w:szCs w:val="21"/>
                    </w:rPr>
                  </w:pPr>
                  <w:r>
                    <w:rPr>
                      <w:szCs w:val="21"/>
                    </w:rPr>
                    <w:t>项目</w:t>
                  </w:r>
                </w:p>
              </w:tc>
              <w:tc>
                <w:tcPr>
                  <w:tcW w:w="2639" w:type="dxa"/>
                  <w:noWrap/>
                  <w:vAlign w:val="center"/>
                </w:tcPr>
                <w:p>
                  <w:pPr>
                    <w:spacing w:line="240" w:lineRule="exact"/>
                    <w:jc w:val="center"/>
                    <w:rPr>
                      <w:szCs w:val="21"/>
                    </w:rPr>
                  </w:pPr>
                  <w:r>
                    <w:rPr>
                      <w:szCs w:val="21"/>
                    </w:rPr>
                    <w:t>浓度限值</w:t>
                  </w:r>
                </w:p>
              </w:tc>
              <w:tc>
                <w:tcPr>
                  <w:tcW w:w="2640" w:type="dxa"/>
                  <w:noWrap/>
                  <w:vAlign w:val="center"/>
                </w:tcPr>
                <w:p>
                  <w:pPr>
                    <w:spacing w:line="240" w:lineRule="exact"/>
                    <w:jc w:val="center"/>
                    <w:rPr>
                      <w:szCs w:val="21"/>
                    </w:rPr>
                  </w:pPr>
                  <w:r>
                    <w:rPr>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spacing w:line="240" w:lineRule="exact"/>
                    <w:jc w:val="center"/>
                    <w:rPr>
                      <w:szCs w:val="21"/>
                    </w:rPr>
                  </w:pPr>
                  <w:r>
                    <w:rPr>
                      <w:szCs w:val="21"/>
                    </w:rPr>
                    <w:t>pH（无量纲）</w:t>
                  </w:r>
                </w:p>
              </w:tc>
              <w:tc>
                <w:tcPr>
                  <w:tcW w:w="2639" w:type="dxa"/>
                  <w:noWrap/>
                  <w:vAlign w:val="center"/>
                </w:tcPr>
                <w:p>
                  <w:pPr>
                    <w:pStyle w:val="13"/>
                    <w:ind w:firstLine="0"/>
                    <w:jc w:val="center"/>
                    <w:rPr>
                      <w:szCs w:val="21"/>
                      <w:lang w:val="en-US" w:eastAsia="zh-CN"/>
                    </w:rPr>
                  </w:pPr>
                  <w:r>
                    <w:rPr>
                      <w:szCs w:val="21"/>
                      <w:lang w:val="en-US" w:eastAsia="zh-CN"/>
                    </w:rPr>
                    <w:t>6～9</w:t>
                  </w:r>
                </w:p>
              </w:tc>
              <w:tc>
                <w:tcPr>
                  <w:tcW w:w="2640" w:type="dxa"/>
                  <w:vMerge w:val="restart"/>
                  <w:noWrap/>
                  <w:vAlign w:val="center"/>
                </w:tcPr>
                <w:p>
                  <w:pPr>
                    <w:spacing w:line="240" w:lineRule="exact"/>
                    <w:jc w:val="center"/>
                    <w:rPr>
                      <w:szCs w:val="21"/>
                    </w:rPr>
                  </w:pPr>
                  <w:r>
                    <w:rPr>
                      <w:szCs w:val="21"/>
                    </w:rPr>
                    <w:t>《地表水环境质量标准》（GB3838-2002）III类标准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COD</w:t>
                  </w:r>
                </w:p>
              </w:tc>
              <w:tc>
                <w:tcPr>
                  <w:tcW w:w="2639" w:type="dxa"/>
                  <w:noWrap/>
                  <w:vAlign w:val="center"/>
                </w:tcPr>
                <w:p>
                  <w:pPr>
                    <w:jc w:val="center"/>
                    <w:rPr>
                      <w:szCs w:val="21"/>
                    </w:rPr>
                  </w:pPr>
                  <w:r>
                    <w:rPr>
                      <w:szCs w:val="21"/>
                    </w:rPr>
                    <w:t>20</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高锰酸盐指数</w:t>
                  </w:r>
                </w:p>
              </w:tc>
              <w:tc>
                <w:tcPr>
                  <w:tcW w:w="2639" w:type="dxa"/>
                  <w:noWrap/>
                  <w:vAlign w:val="center"/>
                </w:tcPr>
                <w:p>
                  <w:pPr>
                    <w:jc w:val="center"/>
                    <w:rPr>
                      <w:szCs w:val="21"/>
                    </w:rPr>
                  </w:pPr>
                  <w:r>
                    <w:rPr>
                      <w:szCs w:val="21"/>
                    </w:rPr>
                    <w:t>6</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BOD</w:t>
                  </w:r>
                  <w:r>
                    <w:rPr>
                      <w:szCs w:val="21"/>
                      <w:vertAlign w:val="subscript"/>
                    </w:rPr>
                    <w:t>5</w:t>
                  </w:r>
                </w:p>
              </w:tc>
              <w:tc>
                <w:tcPr>
                  <w:tcW w:w="2639" w:type="dxa"/>
                  <w:noWrap/>
                  <w:vAlign w:val="center"/>
                </w:tcPr>
                <w:p>
                  <w:pPr>
                    <w:jc w:val="center"/>
                    <w:rPr>
                      <w:szCs w:val="21"/>
                    </w:rPr>
                  </w:pPr>
                  <w:r>
                    <w:rPr>
                      <w:szCs w:val="21"/>
                    </w:rPr>
                    <w:t>4</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氨氮</w:t>
                  </w:r>
                </w:p>
              </w:tc>
              <w:tc>
                <w:tcPr>
                  <w:tcW w:w="2639" w:type="dxa"/>
                  <w:noWrap/>
                  <w:vAlign w:val="center"/>
                </w:tcPr>
                <w:p>
                  <w:pPr>
                    <w:jc w:val="center"/>
                    <w:rPr>
                      <w:szCs w:val="21"/>
                    </w:rPr>
                  </w:pPr>
                  <w:r>
                    <w:rPr>
                      <w:szCs w:val="21"/>
                    </w:rPr>
                    <w:t>1.0</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石油类</w:t>
                  </w:r>
                </w:p>
              </w:tc>
              <w:tc>
                <w:tcPr>
                  <w:tcW w:w="2639" w:type="dxa"/>
                  <w:noWrap/>
                  <w:vAlign w:val="center"/>
                </w:tcPr>
                <w:p>
                  <w:pPr>
                    <w:jc w:val="center"/>
                    <w:rPr>
                      <w:szCs w:val="21"/>
                    </w:rPr>
                  </w:pPr>
                  <w:r>
                    <w:rPr>
                      <w:szCs w:val="21"/>
                    </w:rPr>
                    <w:t>0.05</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总磷</w:t>
                  </w:r>
                </w:p>
              </w:tc>
              <w:tc>
                <w:tcPr>
                  <w:tcW w:w="2639" w:type="dxa"/>
                  <w:noWrap/>
                  <w:vAlign w:val="center"/>
                </w:tcPr>
                <w:p>
                  <w:pPr>
                    <w:jc w:val="center"/>
                    <w:rPr>
                      <w:szCs w:val="21"/>
                    </w:rPr>
                  </w:pPr>
                  <w:r>
                    <w:rPr>
                      <w:szCs w:val="21"/>
                    </w:rPr>
                    <w:t>0.2</w:t>
                  </w:r>
                </w:p>
              </w:tc>
              <w:tc>
                <w:tcPr>
                  <w:tcW w:w="2640" w:type="dxa"/>
                  <w:vMerge w:val="continue"/>
                  <w:noWrap/>
                  <w:vAlign w:val="center"/>
                </w:tcPr>
                <w:p>
                  <w:pPr>
                    <w:spacing w:line="240" w:lineRule="exact"/>
                    <w:jc w:val="center"/>
                    <w:rPr>
                      <w:szCs w:val="21"/>
                    </w:rPr>
                  </w:pPr>
                </w:p>
              </w:tc>
            </w:tr>
          </w:tbl>
          <w:p>
            <w:pPr>
              <w:spacing w:line="520" w:lineRule="exact"/>
              <w:ind w:firstLine="482" w:firstLineChars="200"/>
              <w:rPr>
                <w:b/>
                <w:sz w:val="24"/>
              </w:rPr>
            </w:pPr>
            <w:r>
              <w:rPr>
                <w:b/>
                <w:sz w:val="24"/>
              </w:rPr>
              <w:t>3、声环境</w:t>
            </w:r>
          </w:p>
          <w:p>
            <w:pPr>
              <w:spacing w:line="520" w:lineRule="exact"/>
              <w:ind w:firstLine="480" w:firstLineChars="200"/>
              <w:rPr>
                <w:sz w:val="24"/>
              </w:rPr>
            </w:pPr>
            <w:r>
              <w:rPr>
                <w:sz w:val="24"/>
              </w:rPr>
              <w:t>声环境执行《声环境质量标准》（GB3096-2008）表1中2类标准，具体标准限值见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14</w:t>
            </w:r>
            <w:r>
              <w:rPr>
                <w:rFonts w:eastAsia="黑体"/>
                <w:kern w:val="0"/>
                <w:sz w:val="24"/>
              </w:rPr>
              <w:t xml:space="preserve">           声环境质量标准               单位：dB（A）</w:t>
            </w:r>
          </w:p>
          <w:tbl>
            <w:tblPr>
              <w:tblStyle w:val="32"/>
              <w:tblW w:w="7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2185"/>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17" w:type="dxa"/>
                  <w:noWrap/>
                  <w:vAlign w:val="center"/>
                </w:tcPr>
                <w:p>
                  <w:pPr>
                    <w:jc w:val="center"/>
                  </w:pPr>
                  <w:r>
                    <w:t>类别</w:t>
                  </w:r>
                </w:p>
              </w:tc>
              <w:tc>
                <w:tcPr>
                  <w:tcW w:w="2185" w:type="dxa"/>
                  <w:noWrap/>
                  <w:vAlign w:val="center"/>
                </w:tcPr>
                <w:p>
                  <w:pPr>
                    <w:jc w:val="center"/>
                  </w:pPr>
                  <w:r>
                    <w:t>昼间</w:t>
                  </w:r>
                </w:p>
              </w:tc>
              <w:tc>
                <w:tcPr>
                  <w:tcW w:w="2616" w:type="dxa"/>
                  <w:noWrap/>
                  <w:vAlign w:val="center"/>
                </w:tcPr>
                <w:p>
                  <w:pPr>
                    <w:jc w:val="center"/>
                  </w:pPr>
                  <w: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17" w:type="dxa"/>
                  <w:noWrap/>
                  <w:vAlign w:val="center"/>
                </w:tcPr>
                <w:p>
                  <w:pPr>
                    <w:jc w:val="center"/>
                  </w:pPr>
                  <w:r>
                    <w:t>2类</w:t>
                  </w:r>
                </w:p>
              </w:tc>
              <w:tc>
                <w:tcPr>
                  <w:tcW w:w="2185" w:type="dxa"/>
                  <w:noWrap/>
                  <w:vAlign w:val="center"/>
                </w:tcPr>
                <w:p>
                  <w:pPr>
                    <w:pStyle w:val="20"/>
                    <w:adjustRightInd/>
                    <w:jc w:val="center"/>
                    <w:textAlignment w:val="auto"/>
                    <w:rPr>
                      <w:sz w:val="21"/>
                    </w:rPr>
                  </w:pPr>
                  <w:r>
                    <w:rPr>
                      <w:sz w:val="21"/>
                    </w:rPr>
                    <w:t>60</w:t>
                  </w:r>
                </w:p>
              </w:tc>
              <w:tc>
                <w:tcPr>
                  <w:tcW w:w="2616" w:type="dxa"/>
                  <w:noWrap/>
                  <w:vAlign w:val="center"/>
                </w:tcPr>
                <w:p>
                  <w:pPr>
                    <w:jc w:val="center"/>
                  </w:pPr>
                  <w:r>
                    <w:t>50</w:t>
                  </w:r>
                </w:p>
              </w:tc>
            </w:tr>
          </w:tbl>
          <w:p>
            <w:pPr>
              <w:spacing w:line="360" w:lineRule="auto"/>
              <w:rPr>
                <w:sz w:val="24"/>
              </w:rPr>
            </w:pPr>
          </w:p>
          <w:p>
            <w:pPr>
              <w:keepNext/>
              <w:spacing w:line="520" w:lineRule="exact"/>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9" w:hRule="atLeast"/>
        </w:trPr>
        <w:tc>
          <w:tcPr>
            <w:tcW w:w="802" w:type="dxa"/>
            <w:tcBorders>
              <w:top w:val="single" w:color="auto" w:sz="6" w:space="0"/>
              <w:bottom w:val="single" w:color="auto" w:sz="6" w:space="0"/>
            </w:tcBorders>
            <w:noWrap/>
            <w:vAlign w:val="center"/>
          </w:tcPr>
          <w:p>
            <w:pPr>
              <w:spacing w:line="520" w:lineRule="exact"/>
              <w:jc w:val="center"/>
              <w:rPr>
                <w:b/>
                <w:bCs/>
                <w:sz w:val="24"/>
              </w:rPr>
            </w:pPr>
            <w:r>
              <w:rPr>
                <w:b/>
                <w:bCs/>
                <w:sz w:val="24"/>
              </w:rPr>
              <w:t>污</w:t>
            </w:r>
          </w:p>
          <w:p>
            <w:pPr>
              <w:spacing w:line="520" w:lineRule="exact"/>
              <w:jc w:val="center"/>
              <w:rPr>
                <w:b/>
                <w:bCs/>
                <w:sz w:val="24"/>
              </w:rPr>
            </w:pPr>
            <w:r>
              <w:rPr>
                <w:b/>
                <w:bCs/>
                <w:sz w:val="24"/>
              </w:rPr>
              <w:t>染</w:t>
            </w:r>
          </w:p>
          <w:p>
            <w:pPr>
              <w:spacing w:line="520" w:lineRule="exact"/>
              <w:jc w:val="center"/>
              <w:rPr>
                <w:b/>
                <w:bCs/>
                <w:sz w:val="24"/>
              </w:rPr>
            </w:pPr>
            <w:r>
              <w:rPr>
                <w:b/>
                <w:bCs/>
                <w:sz w:val="24"/>
              </w:rPr>
              <w:t>物</w:t>
            </w:r>
          </w:p>
          <w:p>
            <w:pPr>
              <w:spacing w:line="520" w:lineRule="exact"/>
              <w:jc w:val="center"/>
              <w:rPr>
                <w:b/>
                <w:bCs/>
                <w:sz w:val="24"/>
              </w:rPr>
            </w:pPr>
            <w:r>
              <w:rPr>
                <w:b/>
                <w:bCs/>
                <w:sz w:val="24"/>
              </w:rPr>
              <w:t>排</w:t>
            </w:r>
          </w:p>
          <w:p>
            <w:pPr>
              <w:spacing w:line="520" w:lineRule="exact"/>
              <w:jc w:val="center"/>
              <w:rPr>
                <w:b/>
                <w:bCs/>
                <w:sz w:val="24"/>
              </w:rPr>
            </w:pPr>
            <w:r>
              <w:rPr>
                <w:b/>
                <w:bCs/>
                <w:sz w:val="24"/>
              </w:rPr>
              <w:t>放</w:t>
            </w:r>
          </w:p>
          <w:p>
            <w:pPr>
              <w:spacing w:line="520" w:lineRule="exact"/>
              <w:jc w:val="center"/>
              <w:rPr>
                <w:b/>
                <w:bCs/>
                <w:sz w:val="24"/>
              </w:rPr>
            </w:pPr>
            <w:r>
              <w:rPr>
                <w:b/>
                <w:bCs/>
                <w:sz w:val="24"/>
              </w:rPr>
              <w:t>标</w:t>
            </w:r>
          </w:p>
          <w:p>
            <w:pPr>
              <w:spacing w:line="520" w:lineRule="exact"/>
              <w:jc w:val="center"/>
              <w:rPr>
                <w:sz w:val="24"/>
              </w:rPr>
            </w:pPr>
            <w:r>
              <w:rPr>
                <w:b/>
                <w:bCs/>
                <w:sz w:val="24"/>
              </w:rPr>
              <w:t>准</w:t>
            </w:r>
          </w:p>
        </w:tc>
        <w:tc>
          <w:tcPr>
            <w:tcW w:w="8144" w:type="dxa"/>
            <w:tcBorders>
              <w:top w:val="single" w:color="auto" w:sz="6" w:space="0"/>
              <w:bottom w:val="single" w:color="auto" w:sz="6" w:space="0"/>
            </w:tcBorders>
            <w:noWrap/>
          </w:tcPr>
          <w:p>
            <w:pPr>
              <w:spacing w:line="360" w:lineRule="auto"/>
              <w:ind w:firstLine="482" w:firstLineChars="200"/>
              <w:rPr>
                <w:b/>
                <w:sz w:val="24"/>
              </w:rPr>
            </w:pPr>
            <w:r>
              <w:rPr>
                <w:b/>
                <w:sz w:val="24"/>
              </w:rPr>
              <w:t>1、废气</w:t>
            </w:r>
          </w:p>
          <w:p>
            <w:pPr>
              <w:spacing w:line="520" w:lineRule="exact"/>
              <w:ind w:firstLine="480" w:firstLineChars="200"/>
              <w:rPr>
                <w:sz w:val="24"/>
              </w:rPr>
            </w:pPr>
            <w:r>
              <w:rPr>
                <w:sz w:val="24"/>
              </w:rPr>
              <w:t>项目运营期</w:t>
            </w:r>
            <w:r>
              <w:rPr>
                <w:rFonts w:hint="eastAsia"/>
                <w:sz w:val="24"/>
              </w:rPr>
              <w:t>颗粒物</w:t>
            </w:r>
            <w:r>
              <w:rPr>
                <w:sz w:val="24"/>
              </w:rPr>
              <w:t>排放执行</w:t>
            </w:r>
            <w:r>
              <w:rPr>
                <w:rFonts w:hint="eastAsia"/>
                <w:sz w:val="24"/>
                <w:lang w:eastAsia="zh-CN"/>
              </w:rPr>
              <w:t>河南省地方标准</w:t>
            </w:r>
            <w:r>
              <w:rPr>
                <w:sz w:val="24"/>
              </w:rPr>
              <w:t>《水泥工业大气污染物排放标准》（</w:t>
            </w:r>
            <w:r>
              <w:rPr>
                <w:rFonts w:hint="eastAsia"/>
                <w:sz w:val="24"/>
                <w:lang w:val="en-US" w:eastAsia="zh-CN"/>
              </w:rPr>
              <w:t>D</w:t>
            </w:r>
            <w:r>
              <w:rPr>
                <w:sz w:val="24"/>
              </w:rPr>
              <w:t>B</w:t>
            </w:r>
            <w:r>
              <w:rPr>
                <w:rFonts w:hint="eastAsia"/>
                <w:sz w:val="24"/>
                <w:lang w:val="en-US" w:eastAsia="zh-CN"/>
              </w:rPr>
              <w:t>41/1953</w:t>
            </w:r>
            <w:r>
              <w:rPr>
                <w:sz w:val="24"/>
              </w:rPr>
              <w:t>-</w:t>
            </w:r>
            <w:r>
              <w:rPr>
                <w:rFonts w:hint="eastAsia"/>
                <w:sz w:val="24"/>
                <w:lang w:val="en-US" w:eastAsia="zh-CN"/>
              </w:rPr>
              <w:t>2020</w:t>
            </w:r>
            <w:r>
              <w:rPr>
                <w:sz w:val="24"/>
              </w:rPr>
              <w:t>）表1标准</w:t>
            </w:r>
            <w:r>
              <w:rPr>
                <w:rFonts w:hint="eastAsia"/>
                <w:sz w:val="24"/>
              </w:rPr>
              <w:t>、</w:t>
            </w:r>
            <w:r>
              <w:rPr>
                <w:sz w:val="24"/>
              </w:rPr>
              <w:t>表</w:t>
            </w:r>
            <w:r>
              <w:rPr>
                <w:rFonts w:hint="eastAsia"/>
                <w:sz w:val="24"/>
                <w:lang w:val="en-US" w:eastAsia="zh-CN"/>
              </w:rPr>
              <w:t>2</w:t>
            </w:r>
            <w:r>
              <w:rPr>
                <w:sz w:val="24"/>
              </w:rPr>
              <w:t>标准要求，具体排放限值见下表：</w:t>
            </w:r>
          </w:p>
          <w:p>
            <w:pPr>
              <w:numPr>
                <w:ilvl w:val="0"/>
                <w:numId w:val="0"/>
              </w:numPr>
              <w:autoSpaceDE w:val="0"/>
              <w:autoSpaceDN w:val="0"/>
              <w:adjustRightInd w:val="0"/>
              <w:spacing w:line="520" w:lineRule="exact"/>
              <w:ind w:leftChars="200"/>
              <w:rPr>
                <w:rFonts w:eastAsia="黑体"/>
                <w:kern w:val="0"/>
                <w:sz w:val="24"/>
              </w:rPr>
            </w:pPr>
            <w:r>
              <w:rPr>
                <w:rFonts w:eastAsia="黑体"/>
                <w:kern w:val="0"/>
                <w:sz w:val="24"/>
              </w:rPr>
              <w:t>表</w:t>
            </w:r>
            <w:r>
              <w:rPr>
                <w:rFonts w:hint="eastAsia" w:eastAsia="黑体"/>
                <w:kern w:val="0"/>
                <w:sz w:val="24"/>
                <w:lang w:val="en-US" w:eastAsia="zh-CN"/>
              </w:rPr>
              <w:t>15</w:t>
            </w:r>
            <w:r>
              <w:rPr>
                <w:rFonts w:eastAsia="黑体"/>
                <w:kern w:val="0"/>
                <w:sz w:val="24"/>
              </w:rPr>
              <w:t xml:space="preserve">         大气污染物排放限值        单位：mg/m</w:t>
            </w:r>
            <w:r>
              <w:rPr>
                <w:rFonts w:eastAsia="黑体"/>
                <w:kern w:val="0"/>
                <w:sz w:val="24"/>
                <w:vertAlign w:val="superscript"/>
              </w:rPr>
              <w:t>3</w:t>
            </w:r>
          </w:p>
          <w:tbl>
            <w:tblPr>
              <w:tblStyle w:val="32"/>
              <w:tblW w:w="0" w:type="auto"/>
              <w:tblInd w:w="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0"/>
              <w:gridCol w:w="3260"/>
              <w:gridCol w:w="33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trPr>
              <w:tc>
                <w:tcPr>
                  <w:tcW w:w="1700" w:type="dxa"/>
                  <w:noWrap w:val="0"/>
                  <w:vAlign w:val="center"/>
                </w:tcPr>
                <w:p>
                  <w:pPr>
                    <w:jc w:val="center"/>
                    <w:rPr>
                      <w:szCs w:val="21"/>
                    </w:rPr>
                  </w:pPr>
                  <w:r>
                    <w:rPr>
                      <w:szCs w:val="21"/>
                    </w:rPr>
                    <w:t>污染物项目</w:t>
                  </w:r>
                </w:p>
              </w:tc>
              <w:tc>
                <w:tcPr>
                  <w:tcW w:w="3260" w:type="dxa"/>
                  <w:noWrap w:val="0"/>
                  <w:vAlign w:val="center"/>
                </w:tcPr>
                <w:p>
                  <w:pPr>
                    <w:jc w:val="center"/>
                    <w:rPr>
                      <w:szCs w:val="21"/>
                    </w:rPr>
                  </w:pPr>
                  <w:r>
                    <w:rPr>
                      <w:szCs w:val="21"/>
                    </w:rPr>
                    <w:t>排放限值</w:t>
                  </w:r>
                </w:p>
              </w:tc>
              <w:tc>
                <w:tcPr>
                  <w:tcW w:w="3355" w:type="dxa"/>
                  <w:noWrap w:val="0"/>
                  <w:vAlign w:val="center"/>
                </w:tcPr>
                <w:p>
                  <w:pPr>
                    <w:jc w:val="center"/>
                    <w:rPr>
                      <w:szCs w:val="21"/>
                    </w:rPr>
                  </w:pPr>
                  <w:r>
                    <w:rPr>
                      <w:szCs w:val="21"/>
                    </w:rPr>
                    <w:t>无组织排放监控浓度限值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1700" w:type="dxa"/>
                  <w:noWrap w:val="0"/>
                  <w:vAlign w:val="center"/>
                </w:tcPr>
                <w:p>
                  <w:pPr>
                    <w:jc w:val="center"/>
                    <w:rPr>
                      <w:szCs w:val="21"/>
                    </w:rPr>
                  </w:pPr>
                  <w:r>
                    <w:rPr>
                      <w:szCs w:val="21"/>
                    </w:rPr>
                    <w:t>颗粒物（散装水泥中转站及水泥制品生产）</w:t>
                  </w:r>
                </w:p>
              </w:tc>
              <w:tc>
                <w:tcPr>
                  <w:tcW w:w="3260" w:type="dxa"/>
                  <w:noWrap w:val="0"/>
                  <w:vAlign w:val="center"/>
                </w:tcPr>
                <w:p>
                  <w:pPr>
                    <w:jc w:val="center"/>
                    <w:rPr>
                      <w:szCs w:val="21"/>
                    </w:rPr>
                  </w:pPr>
                  <w:r>
                    <w:rPr>
                      <w:szCs w:val="21"/>
                    </w:rPr>
                    <w:t>最高允许排放限值</w:t>
                  </w:r>
                  <w:r>
                    <w:rPr>
                      <w:rFonts w:hint="eastAsia"/>
                      <w:szCs w:val="21"/>
                      <w:lang w:val="en-US" w:eastAsia="zh-CN"/>
                    </w:rPr>
                    <w:t>10</w:t>
                  </w:r>
                  <w:r>
                    <w:rPr>
                      <w:szCs w:val="21"/>
                    </w:rPr>
                    <w:t>mg/m</w:t>
                  </w:r>
                  <w:r>
                    <w:rPr>
                      <w:szCs w:val="21"/>
                      <w:vertAlign w:val="superscript"/>
                    </w:rPr>
                    <w:t>3</w:t>
                  </w:r>
                </w:p>
              </w:tc>
              <w:tc>
                <w:tcPr>
                  <w:tcW w:w="3355" w:type="dxa"/>
                  <w:noWrap w:val="0"/>
                  <w:vAlign w:val="center"/>
                </w:tcPr>
                <w:p>
                  <w:pPr>
                    <w:jc w:val="center"/>
                    <w:rPr>
                      <w:szCs w:val="21"/>
                    </w:rPr>
                  </w:pPr>
                  <w:r>
                    <w:rPr>
                      <w:rFonts w:hint="eastAsia"/>
                      <w:szCs w:val="21"/>
                    </w:rPr>
                    <w:t>0.5</w:t>
                  </w:r>
                  <w:r>
                    <w:rPr>
                      <w:szCs w:val="21"/>
                    </w:rPr>
                    <w:t>mg/m</w:t>
                  </w:r>
                  <w:r>
                    <w:rPr>
                      <w:szCs w:val="21"/>
                      <w:vertAlign w:val="superscript"/>
                    </w:rPr>
                    <w:t>3</w:t>
                  </w:r>
                </w:p>
              </w:tc>
            </w:tr>
          </w:tbl>
          <w:p>
            <w:pPr>
              <w:spacing w:line="520" w:lineRule="exact"/>
              <w:ind w:firstLine="480" w:firstLineChars="200"/>
              <w:rPr>
                <w:sz w:val="24"/>
              </w:rPr>
            </w:pPr>
            <w:r>
              <w:rPr>
                <w:sz w:val="24"/>
              </w:rPr>
              <w:t>项目运营期</w:t>
            </w:r>
            <w:r>
              <w:rPr>
                <w:rFonts w:hint="eastAsia"/>
                <w:sz w:val="24"/>
                <w:lang w:eastAsia="zh-CN"/>
              </w:rPr>
              <w:t>食堂油烟</w:t>
            </w:r>
            <w:r>
              <w:rPr>
                <w:sz w:val="24"/>
              </w:rPr>
              <w:t>执行</w:t>
            </w:r>
            <w:r>
              <w:rPr>
                <w:rFonts w:hint="eastAsia"/>
                <w:sz w:val="24"/>
                <w:lang w:eastAsia="zh-CN"/>
              </w:rPr>
              <w:t>河南省地方标准</w:t>
            </w:r>
            <w:r>
              <w:rPr>
                <w:sz w:val="24"/>
              </w:rPr>
              <w:t>《餐饮业油烟污染物排放标准》（DB41/1604-2018</w:t>
            </w:r>
            <w:r>
              <w:rPr>
                <w:rFonts w:ascii="Times New Roman" w:cs="Times New Roman"/>
                <w:color w:val="auto"/>
                <w:sz w:val="21"/>
                <w:szCs w:val="21"/>
              </w:rPr>
              <w:t>）</w:t>
            </w:r>
            <w:r>
              <w:rPr>
                <w:sz w:val="24"/>
              </w:rPr>
              <w:t>表1标准要求，具体排放限值见下表：</w:t>
            </w:r>
          </w:p>
          <w:p>
            <w:pPr>
              <w:numPr>
                <w:ilvl w:val="0"/>
                <w:numId w:val="0"/>
              </w:numPr>
              <w:autoSpaceDE w:val="0"/>
              <w:autoSpaceDN w:val="0"/>
              <w:adjustRightInd w:val="0"/>
              <w:spacing w:line="520" w:lineRule="exact"/>
              <w:ind w:leftChars="200"/>
              <w:rPr>
                <w:rFonts w:eastAsia="黑体"/>
                <w:kern w:val="0"/>
                <w:sz w:val="24"/>
              </w:rPr>
            </w:pPr>
            <w:r>
              <w:rPr>
                <w:rFonts w:eastAsia="黑体"/>
                <w:kern w:val="0"/>
                <w:sz w:val="24"/>
              </w:rPr>
              <w:t>表</w:t>
            </w:r>
            <w:r>
              <w:rPr>
                <w:rFonts w:hint="eastAsia" w:eastAsia="黑体"/>
                <w:kern w:val="0"/>
                <w:sz w:val="24"/>
                <w:lang w:val="en-US" w:eastAsia="zh-CN"/>
              </w:rPr>
              <w:t xml:space="preserve">16 </w:t>
            </w:r>
            <w:r>
              <w:rPr>
                <w:rFonts w:hint="eastAsia" w:eastAsia="黑体"/>
                <w:kern w:val="0"/>
                <w:sz w:val="24"/>
              </w:rPr>
              <w:t>《餐饮业油烟污染物排放标准》（</w:t>
            </w:r>
            <w:r>
              <w:rPr>
                <w:rFonts w:eastAsia="黑体"/>
                <w:kern w:val="0"/>
                <w:sz w:val="24"/>
              </w:rPr>
              <w:t>DB 41/1604-2018</w:t>
            </w:r>
            <w:r>
              <w:rPr>
                <w:rFonts w:hint="eastAsia" w:eastAsia="黑体"/>
                <w:kern w:val="0"/>
                <w:sz w:val="24"/>
              </w:rPr>
              <w:t>）表</w:t>
            </w:r>
            <w:r>
              <w:rPr>
                <w:rFonts w:eastAsia="黑体"/>
                <w:kern w:val="0"/>
                <w:sz w:val="24"/>
              </w:rPr>
              <w:t xml:space="preserve">1 </w:t>
            </w:r>
            <w:r>
              <w:rPr>
                <w:rFonts w:hint="eastAsia" w:eastAsia="黑体"/>
                <w:kern w:val="0"/>
                <w:sz w:val="24"/>
              </w:rPr>
              <w:t>小型</w:t>
            </w:r>
          </w:p>
          <w:tbl>
            <w:tblPr>
              <w:tblStyle w:val="32"/>
              <w:tblW w:w="79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1"/>
              <w:gridCol w:w="2702"/>
              <w:gridCol w:w="23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2821" w:type="dxa"/>
                  <w:noWrap/>
                  <w:vAlign w:val="center"/>
                </w:tcPr>
                <w:p>
                  <w:pPr>
                    <w:spacing w:line="400" w:lineRule="exact"/>
                    <w:jc w:val="center"/>
                    <w:rPr>
                      <w:bCs/>
                      <w:szCs w:val="21"/>
                    </w:rPr>
                  </w:pPr>
                  <w:r>
                    <w:rPr>
                      <w:rFonts w:hint="eastAsia"/>
                      <w:bCs/>
                      <w:szCs w:val="21"/>
                    </w:rPr>
                    <w:t>污染物项目</w:t>
                  </w:r>
                </w:p>
              </w:tc>
              <w:tc>
                <w:tcPr>
                  <w:tcW w:w="2702" w:type="dxa"/>
                  <w:noWrap/>
                  <w:vAlign w:val="center"/>
                </w:tcPr>
                <w:p>
                  <w:pPr>
                    <w:spacing w:line="400" w:lineRule="exact"/>
                    <w:jc w:val="center"/>
                    <w:rPr>
                      <w:bCs/>
                      <w:szCs w:val="21"/>
                    </w:rPr>
                  </w:pPr>
                  <w:r>
                    <w:rPr>
                      <w:rFonts w:hint="eastAsia"/>
                      <w:bCs/>
                      <w:szCs w:val="21"/>
                    </w:rPr>
                    <w:t>小型排放限值</w:t>
                  </w:r>
                  <w:r>
                    <w:rPr>
                      <w:bCs/>
                    </w:rPr>
                    <w:t>mg/m</w:t>
                  </w:r>
                  <w:r>
                    <w:rPr>
                      <w:bCs/>
                      <w:vertAlign w:val="superscript"/>
                    </w:rPr>
                    <w:t>3</w:t>
                  </w:r>
                </w:p>
              </w:tc>
              <w:tc>
                <w:tcPr>
                  <w:tcW w:w="2388" w:type="dxa"/>
                  <w:noWrap/>
                  <w:vAlign w:val="center"/>
                </w:tcPr>
                <w:p>
                  <w:pPr>
                    <w:spacing w:line="400" w:lineRule="exact"/>
                    <w:jc w:val="center"/>
                    <w:rPr>
                      <w:bCs/>
                      <w:szCs w:val="21"/>
                    </w:rPr>
                  </w:pPr>
                  <w:r>
                    <w:rPr>
                      <w:rFonts w:hint="eastAsia"/>
                      <w:bCs/>
                      <w:szCs w:val="21"/>
                    </w:rPr>
                    <w:t>污染物排放位置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2821" w:type="dxa"/>
                  <w:noWrap/>
                  <w:vAlign w:val="center"/>
                </w:tcPr>
                <w:p>
                  <w:pPr>
                    <w:spacing w:line="400" w:lineRule="exact"/>
                    <w:jc w:val="center"/>
                    <w:rPr>
                      <w:bCs/>
                    </w:rPr>
                  </w:pPr>
                  <w:r>
                    <w:rPr>
                      <w:rFonts w:hint="eastAsia"/>
                      <w:bCs/>
                    </w:rPr>
                    <w:t>油烟</w:t>
                  </w:r>
                </w:p>
              </w:tc>
              <w:tc>
                <w:tcPr>
                  <w:tcW w:w="2702" w:type="dxa"/>
                  <w:noWrap/>
                  <w:vAlign w:val="center"/>
                </w:tcPr>
                <w:p>
                  <w:pPr>
                    <w:spacing w:line="400" w:lineRule="exact"/>
                    <w:jc w:val="center"/>
                    <w:rPr>
                      <w:bCs/>
                      <w:szCs w:val="21"/>
                    </w:rPr>
                  </w:pPr>
                  <w:r>
                    <w:rPr>
                      <w:bCs/>
                      <w:szCs w:val="21"/>
                    </w:rPr>
                    <w:t>1.5</w:t>
                  </w:r>
                </w:p>
              </w:tc>
              <w:tc>
                <w:tcPr>
                  <w:tcW w:w="2388" w:type="dxa"/>
                  <w:noWrap/>
                  <w:vAlign w:val="center"/>
                </w:tcPr>
                <w:p>
                  <w:pPr>
                    <w:spacing w:line="400" w:lineRule="exact"/>
                    <w:jc w:val="center"/>
                    <w:rPr>
                      <w:bCs/>
                      <w:szCs w:val="21"/>
                    </w:rPr>
                  </w:pPr>
                  <w:r>
                    <w:rPr>
                      <w:rFonts w:hint="eastAsia"/>
                      <w:bCs/>
                      <w:szCs w:val="21"/>
                    </w:rPr>
                    <w:t>排气管或排气筒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2821" w:type="dxa"/>
                  <w:noWrap/>
                  <w:vAlign w:val="center"/>
                </w:tcPr>
                <w:p>
                  <w:pPr>
                    <w:spacing w:line="400" w:lineRule="exact"/>
                    <w:jc w:val="center"/>
                    <w:rPr>
                      <w:bCs/>
                    </w:rPr>
                  </w:pPr>
                  <w:r>
                    <w:rPr>
                      <w:rFonts w:hint="eastAsia"/>
                      <w:bCs/>
                    </w:rPr>
                    <w:t>油烟去除效率（</w:t>
                  </w:r>
                  <w:r>
                    <w:rPr>
                      <w:bCs/>
                    </w:rPr>
                    <w:t>%</w:t>
                  </w:r>
                  <w:r>
                    <w:rPr>
                      <w:rFonts w:hint="eastAsia"/>
                      <w:bCs/>
                    </w:rPr>
                    <w:t>）</w:t>
                  </w:r>
                </w:p>
              </w:tc>
              <w:tc>
                <w:tcPr>
                  <w:tcW w:w="2702" w:type="dxa"/>
                  <w:noWrap/>
                  <w:vAlign w:val="center"/>
                </w:tcPr>
                <w:p>
                  <w:pPr>
                    <w:spacing w:line="400" w:lineRule="exact"/>
                    <w:jc w:val="center"/>
                    <w:rPr>
                      <w:bCs/>
                      <w:szCs w:val="21"/>
                    </w:rPr>
                  </w:pPr>
                  <w:r>
                    <w:rPr>
                      <w:rFonts w:hint="eastAsia"/>
                      <w:bCs/>
                      <w:szCs w:val="21"/>
                    </w:rPr>
                    <w:t>≥</w:t>
                  </w:r>
                  <w:r>
                    <w:rPr>
                      <w:bCs/>
                      <w:szCs w:val="21"/>
                    </w:rPr>
                    <w:t>90</w:t>
                  </w:r>
                </w:p>
              </w:tc>
              <w:tc>
                <w:tcPr>
                  <w:tcW w:w="2388" w:type="dxa"/>
                  <w:noWrap/>
                  <w:vAlign w:val="center"/>
                </w:tcPr>
                <w:p>
                  <w:pPr>
                    <w:spacing w:line="400" w:lineRule="exact"/>
                    <w:jc w:val="center"/>
                    <w:rPr>
                      <w:bCs/>
                      <w:szCs w:val="21"/>
                    </w:rPr>
                  </w:pPr>
                  <w:r>
                    <w:rPr>
                      <w:rFonts w:hint="eastAsia"/>
                      <w:bCs/>
                      <w:szCs w:val="21"/>
                    </w:rPr>
                    <w:t>—</w:t>
                  </w:r>
                </w:p>
              </w:tc>
            </w:tr>
          </w:tbl>
          <w:p>
            <w:pPr>
              <w:numPr>
                <w:ilvl w:val="0"/>
                <w:numId w:val="8"/>
              </w:numPr>
              <w:spacing w:line="520" w:lineRule="exact"/>
              <w:ind w:firstLine="482" w:firstLineChars="200"/>
              <w:rPr>
                <w:b/>
                <w:sz w:val="24"/>
              </w:rPr>
            </w:pPr>
            <w:r>
              <w:rPr>
                <w:b/>
                <w:sz w:val="24"/>
              </w:rPr>
              <w:t>废水</w:t>
            </w:r>
          </w:p>
          <w:p>
            <w:pPr>
              <w:spacing w:line="520" w:lineRule="exact"/>
              <w:ind w:firstLine="480" w:firstLineChars="200"/>
              <w:jc w:val="left"/>
              <w:rPr>
                <w:bCs/>
                <w:sz w:val="24"/>
              </w:rPr>
            </w:pPr>
            <w:r>
              <w:rPr>
                <w:bCs/>
                <w:sz w:val="24"/>
              </w:rPr>
              <w:t>项目废水不外排。</w:t>
            </w:r>
          </w:p>
          <w:p>
            <w:pPr>
              <w:spacing w:line="520" w:lineRule="exact"/>
              <w:ind w:firstLine="482" w:firstLineChars="200"/>
              <w:rPr>
                <w:b/>
                <w:sz w:val="24"/>
              </w:rPr>
            </w:pPr>
            <w:r>
              <w:rPr>
                <w:b/>
                <w:sz w:val="24"/>
              </w:rPr>
              <w:t>3、噪声</w:t>
            </w:r>
          </w:p>
          <w:p>
            <w:pPr>
              <w:spacing w:line="520" w:lineRule="exact"/>
              <w:ind w:firstLine="480" w:firstLineChars="200"/>
              <w:rPr>
                <w:sz w:val="24"/>
              </w:rPr>
            </w:pPr>
            <w:r>
              <w:rPr>
                <w:sz w:val="24"/>
              </w:rPr>
              <w:t>施工期噪声执行《建筑施工场界环境噪声排放标准》（GB12523-2011），具体限值见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17</w:t>
            </w:r>
            <w:r>
              <w:rPr>
                <w:rFonts w:eastAsia="黑体"/>
                <w:kern w:val="0"/>
                <w:sz w:val="24"/>
              </w:rPr>
              <w:t xml:space="preserve">       建筑施工场界环境噪声排放标准       单位：dB（A）</w:t>
            </w:r>
          </w:p>
          <w:tbl>
            <w:tblPr>
              <w:tblStyle w:val="32"/>
              <w:tblW w:w="7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4"/>
              <w:gridCol w:w="3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954" w:type="dxa"/>
                  <w:noWrap/>
                  <w:vAlign w:val="center"/>
                </w:tcPr>
                <w:p>
                  <w:pPr>
                    <w:spacing w:line="240" w:lineRule="exact"/>
                    <w:jc w:val="center"/>
                    <w:rPr>
                      <w:szCs w:val="21"/>
                    </w:rPr>
                  </w:pPr>
                  <w:r>
                    <w:rPr>
                      <w:szCs w:val="21"/>
                    </w:rPr>
                    <w:t>昼间</w:t>
                  </w:r>
                </w:p>
              </w:tc>
              <w:tc>
                <w:tcPr>
                  <w:tcW w:w="3954" w:type="dxa"/>
                  <w:noWrap/>
                  <w:vAlign w:val="center"/>
                </w:tcPr>
                <w:p>
                  <w:pPr>
                    <w:jc w:val="center"/>
                    <w:rPr>
                      <w:szCs w:val="21"/>
                    </w:rPr>
                  </w:pPr>
                  <w:r>
                    <w:rPr>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954" w:type="dxa"/>
                  <w:noWrap/>
                  <w:vAlign w:val="center"/>
                </w:tcPr>
                <w:p>
                  <w:pPr>
                    <w:jc w:val="center"/>
                    <w:rPr>
                      <w:szCs w:val="21"/>
                    </w:rPr>
                  </w:pPr>
                  <w:r>
                    <w:rPr>
                      <w:szCs w:val="21"/>
                    </w:rPr>
                    <w:t>70</w:t>
                  </w:r>
                </w:p>
              </w:tc>
              <w:tc>
                <w:tcPr>
                  <w:tcW w:w="3954" w:type="dxa"/>
                  <w:noWrap/>
                  <w:vAlign w:val="center"/>
                </w:tcPr>
                <w:p>
                  <w:pPr>
                    <w:jc w:val="center"/>
                    <w:rPr>
                      <w:szCs w:val="21"/>
                    </w:rPr>
                  </w:pPr>
                  <w:r>
                    <w:rPr>
                      <w:szCs w:val="21"/>
                    </w:rPr>
                    <w:t>55</w:t>
                  </w:r>
                </w:p>
              </w:tc>
            </w:tr>
          </w:tbl>
          <w:p>
            <w:pPr>
              <w:spacing w:line="520" w:lineRule="exact"/>
              <w:ind w:firstLine="480" w:firstLineChars="200"/>
              <w:rPr>
                <w:sz w:val="24"/>
              </w:rPr>
            </w:pPr>
            <w:r>
              <w:rPr>
                <w:sz w:val="24"/>
              </w:rPr>
              <w:t>运营期厂界噪声执行《工业企业厂界环境噪声排放标准》（GB12348-2008）表1中2类标准；具体限值见表18。</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18</w:t>
            </w:r>
            <w:r>
              <w:rPr>
                <w:rFonts w:eastAsia="黑体"/>
                <w:kern w:val="0"/>
                <w:sz w:val="24"/>
              </w:rPr>
              <w:t xml:space="preserve">        工业企业厂界环境噪声排放标准       单位：dB（A）</w:t>
            </w:r>
          </w:p>
          <w:tbl>
            <w:tblPr>
              <w:tblStyle w:val="32"/>
              <w:tblW w:w="7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2639"/>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39" w:type="dxa"/>
                  <w:noWrap/>
                  <w:vAlign w:val="center"/>
                </w:tcPr>
                <w:p>
                  <w:pPr>
                    <w:spacing w:line="240" w:lineRule="exact"/>
                    <w:jc w:val="center"/>
                    <w:rPr>
                      <w:szCs w:val="21"/>
                    </w:rPr>
                  </w:pPr>
                  <w:r>
                    <w:rPr>
                      <w:szCs w:val="21"/>
                    </w:rPr>
                    <w:t>类别</w:t>
                  </w:r>
                </w:p>
              </w:tc>
              <w:tc>
                <w:tcPr>
                  <w:tcW w:w="2639" w:type="dxa"/>
                  <w:noWrap/>
                  <w:vAlign w:val="center"/>
                </w:tcPr>
                <w:p>
                  <w:pPr>
                    <w:spacing w:line="240" w:lineRule="exact"/>
                    <w:jc w:val="center"/>
                    <w:rPr>
                      <w:szCs w:val="21"/>
                    </w:rPr>
                  </w:pPr>
                  <w:r>
                    <w:rPr>
                      <w:szCs w:val="21"/>
                    </w:rPr>
                    <w:t>昼间</w:t>
                  </w:r>
                </w:p>
              </w:tc>
              <w:tc>
                <w:tcPr>
                  <w:tcW w:w="2640" w:type="dxa"/>
                  <w:noWrap/>
                  <w:vAlign w:val="center"/>
                </w:tcPr>
                <w:p>
                  <w:pPr>
                    <w:spacing w:line="240" w:lineRule="exact"/>
                    <w:jc w:val="center"/>
                    <w:rPr>
                      <w:szCs w:val="21"/>
                    </w:rPr>
                  </w:pPr>
                  <w:r>
                    <w:rPr>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39" w:type="dxa"/>
                  <w:noWrap/>
                  <w:vAlign w:val="center"/>
                </w:tcPr>
                <w:p>
                  <w:pPr>
                    <w:spacing w:line="240" w:lineRule="exact"/>
                    <w:jc w:val="center"/>
                    <w:rPr>
                      <w:szCs w:val="21"/>
                    </w:rPr>
                  </w:pPr>
                  <w:r>
                    <w:rPr>
                      <w:szCs w:val="21"/>
                    </w:rPr>
                    <w:t>2类</w:t>
                  </w:r>
                </w:p>
              </w:tc>
              <w:tc>
                <w:tcPr>
                  <w:tcW w:w="2639" w:type="dxa"/>
                  <w:noWrap/>
                  <w:vAlign w:val="center"/>
                </w:tcPr>
                <w:p>
                  <w:pPr>
                    <w:spacing w:line="240" w:lineRule="exact"/>
                    <w:jc w:val="center"/>
                    <w:rPr>
                      <w:szCs w:val="21"/>
                    </w:rPr>
                  </w:pPr>
                  <w:r>
                    <w:rPr>
                      <w:szCs w:val="21"/>
                    </w:rPr>
                    <w:t>60</w:t>
                  </w:r>
                </w:p>
              </w:tc>
              <w:tc>
                <w:tcPr>
                  <w:tcW w:w="2640" w:type="dxa"/>
                  <w:noWrap/>
                  <w:vAlign w:val="center"/>
                </w:tcPr>
                <w:p>
                  <w:pPr>
                    <w:spacing w:line="240" w:lineRule="exact"/>
                    <w:jc w:val="center"/>
                    <w:rPr>
                      <w:szCs w:val="21"/>
                    </w:rPr>
                  </w:pPr>
                  <w:r>
                    <w:rPr>
                      <w:szCs w:val="21"/>
                    </w:rPr>
                    <w:t>50</w:t>
                  </w:r>
                </w:p>
              </w:tc>
            </w:tr>
          </w:tbl>
          <w:p>
            <w:pPr>
              <w:spacing w:line="520" w:lineRule="exact"/>
              <w:ind w:firstLine="482" w:firstLineChars="200"/>
              <w:rPr>
                <w:b/>
                <w:sz w:val="24"/>
              </w:rPr>
            </w:pPr>
            <w:r>
              <w:rPr>
                <w:b/>
                <w:sz w:val="24"/>
              </w:rPr>
              <w:t>4、固废</w:t>
            </w:r>
          </w:p>
          <w:p>
            <w:pPr>
              <w:spacing w:line="520" w:lineRule="exact"/>
              <w:ind w:firstLine="480" w:firstLineChars="200"/>
              <w:rPr>
                <w:sz w:val="24"/>
              </w:rPr>
            </w:pPr>
            <w:r>
              <w:rPr>
                <w:sz w:val="24"/>
              </w:rPr>
              <w:t>一般工业固体废物的贮存和处置方法执行《一般工业固体废物贮存、处置场污染物控制标准》（GB18599-2001）及修改单标准中的规定。</w:t>
            </w:r>
          </w:p>
          <w:p>
            <w:pPr>
              <w:spacing w:line="520" w:lineRule="exact"/>
              <w:jc w:val="left"/>
              <w:rPr>
                <w:sz w:val="24"/>
              </w:rPr>
            </w:pPr>
          </w:p>
          <w:p>
            <w:pPr>
              <w:spacing w:line="520" w:lineRule="exact"/>
              <w:jc w:val="left"/>
              <w:rPr>
                <w:sz w:val="24"/>
              </w:rPr>
            </w:pPr>
          </w:p>
          <w:p>
            <w:pPr>
              <w:spacing w:line="520" w:lineRule="exact"/>
              <w:jc w:val="left"/>
              <w:rPr>
                <w:sz w:val="24"/>
              </w:rPr>
            </w:pPr>
          </w:p>
          <w:p>
            <w:pPr>
              <w:spacing w:line="520" w:lineRule="exact"/>
              <w:jc w:val="left"/>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70" w:hRule="atLeast"/>
        </w:trPr>
        <w:tc>
          <w:tcPr>
            <w:tcW w:w="802" w:type="dxa"/>
            <w:tcBorders>
              <w:top w:val="single" w:color="auto" w:sz="6" w:space="0"/>
            </w:tcBorders>
            <w:noWrap/>
            <w:vAlign w:val="center"/>
          </w:tcPr>
          <w:p>
            <w:pPr>
              <w:spacing w:line="500" w:lineRule="exact"/>
              <w:jc w:val="center"/>
              <w:rPr>
                <w:b/>
                <w:bCs/>
                <w:sz w:val="24"/>
              </w:rPr>
            </w:pPr>
            <w:r>
              <w:rPr>
                <w:b/>
                <w:bCs/>
                <w:sz w:val="24"/>
              </w:rPr>
              <w:t>总</w:t>
            </w:r>
          </w:p>
          <w:p>
            <w:pPr>
              <w:spacing w:line="500" w:lineRule="exact"/>
              <w:jc w:val="center"/>
              <w:rPr>
                <w:b/>
                <w:bCs/>
                <w:sz w:val="24"/>
              </w:rPr>
            </w:pPr>
            <w:r>
              <w:rPr>
                <w:b/>
                <w:bCs/>
                <w:sz w:val="24"/>
              </w:rPr>
              <w:t>量</w:t>
            </w:r>
          </w:p>
          <w:p>
            <w:pPr>
              <w:spacing w:line="500" w:lineRule="exact"/>
              <w:jc w:val="center"/>
              <w:rPr>
                <w:b/>
                <w:bCs/>
                <w:sz w:val="24"/>
              </w:rPr>
            </w:pPr>
            <w:r>
              <w:rPr>
                <w:b/>
                <w:bCs/>
                <w:sz w:val="24"/>
              </w:rPr>
              <w:t>控</w:t>
            </w:r>
          </w:p>
          <w:p>
            <w:pPr>
              <w:spacing w:line="500" w:lineRule="exact"/>
              <w:jc w:val="center"/>
              <w:rPr>
                <w:b/>
                <w:bCs/>
                <w:sz w:val="24"/>
              </w:rPr>
            </w:pPr>
            <w:r>
              <w:rPr>
                <w:b/>
                <w:bCs/>
                <w:sz w:val="24"/>
              </w:rPr>
              <w:t>制</w:t>
            </w:r>
          </w:p>
          <w:p>
            <w:pPr>
              <w:spacing w:line="500" w:lineRule="exact"/>
              <w:jc w:val="center"/>
              <w:rPr>
                <w:b/>
                <w:bCs/>
                <w:sz w:val="24"/>
              </w:rPr>
            </w:pPr>
            <w:r>
              <w:rPr>
                <w:b/>
                <w:bCs/>
                <w:sz w:val="24"/>
              </w:rPr>
              <w:t>指</w:t>
            </w:r>
          </w:p>
          <w:p>
            <w:pPr>
              <w:spacing w:line="500" w:lineRule="exact"/>
              <w:jc w:val="center"/>
              <w:rPr>
                <w:sz w:val="24"/>
              </w:rPr>
            </w:pPr>
            <w:r>
              <w:rPr>
                <w:b/>
                <w:bCs/>
                <w:sz w:val="24"/>
              </w:rPr>
              <w:t>标</w:t>
            </w:r>
          </w:p>
        </w:tc>
        <w:tc>
          <w:tcPr>
            <w:tcW w:w="8144" w:type="dxa"/>
            <w:tcBorders>
              <w:top w:val="single" w:color="auto" w:sz="6" w:space="0"/>
            </w:tcBorders>
            <w:noWrap/>
            <w:vAlign w:val="center"/>
          </w:tcPr>
          <w:p>
            <w:pPr>
              <w:spacing w:line="440" w:lineRule="exact"/>
              <w:ind w:firstLine="360" w:firstLineChars="150"/>
              <w:rPr>
                <w:bCs/>
                <w:sz w:val="24"/>
              </w:rPr>
            </w:pPr>
          </w:p>
          <w:p>
            <w:pPr>
              <w:spacing w:line="440" w:lineRule="exact"/>
              <w:ind w:firstLine="360" w:firstLineChars="150"/>
              <w:rPr>
                <w:bCs/>
                <w:sz w:val="24"/>
              </w:rPr>
            </w:pPr>
          </w:p>
          <w:p>
            <w:pPr>
              <w:spacing w:line="440" w:lineRule="exact"/>
              <w:ind w:firstLine="360" w:firstLineChars="150"/>
              <w:rPr>
                <w:bCs/>
                <w:sz w:val="24"/>
              </w:rPr>
            </w:pPr>
          </w:p>
          <w:p>
            <w:pPr>
              <w:spacing w:line="440" w:lineRule="exact"/>
              <w:ind w:firstLine="360" w:firstLineChars="150"/>
              <w:rPr>
                <w:sz w:val="24"/>
              </w:rPr>
            </w:pPr>
            <w:r>
              <w:rPr>
                <w:bCs/>
                <w:sz w:val="24"/>
              </w:rPr>
              <w:t>项目运营期无当前国家规划中总量控制的污染物SO</w:t>
            </w:r>
            <w:r>
              <w:rPr>
                <w:bCs/>
                <w:sz w:val="24"/>
                <w:vertAlign w:val="subscript"/>
              </w:rPr>
              <w:t>2</w:t>
            </w:r>
            <w:r>
              <w:rPr>
                <w:bCs/>
                <w:sz w:val="24"/>
              </w:rPr>
              <w:t>、NOx、COD、NH</w:t>
            </w:r>
            <w:r>
              <w:rPr>
                <w:bCs/>
                <w:sz w:val="24"/>
                <w:vertAlign w:val="subscript"/>
              </w:rPr>
              <w:t>3</w:t>
            </w:r>
            <w:r>
              <w:rPr>
                <w:bCs/>
                <w:sz w:val="24"/>
              </w:rPr>
              <w:t>-N的排放，因此，本项目暂不设总量控制指标。</w:t>
            </w:r>
          </w:p>
          <w:p>
            <w:pPr>
              <w:adjustRightInd w:val="0"/>
              <w:snapToGrid w:val="0"/>
              <w:spacing w:line="520" w:lineRule="exact"/>
              <w:jc w:val="left"/>
              <w:rPr>
                <w:szCs w:val="21"/>
              </w:rPr>
            </w:pPr>
          </w:p>
          <w:p>
            <w:pPr>
              <w:adjustRightInd w:val="0"/>
              <w:snapToGrid w:val="0"/>
              <w:spacing w:line="520" w:lineRule="exact"/>
              <w:jc w:val="left"/>
              <w:rPr>
                <w:szCs w:val="21"/>
              </w:rPr>
            </w:pPr>
          </w:p>
          <w:p>
            <w:pPr>
              <w:adjustRightInd w:val="0"/>
              <w:snapToGrid w:val="0"/>
              <w:spacing w:line="520" w:lineRule="exact"/>
              <w:jc w:val="left"/>
              <w:rPr>
                <w:szCs w:val="21"/>
              </w:rPr>
            </w:pPr>
          </w:p>
        </w:tc>
      </w:tr>
    </w:tbl>
    <w:p>
      <w:pPr>
        <w:spacing w:line="360" w:lineRule="auto"/>
        <w:rPr>
          <w:sz w:val="28"/>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建设项目工程分析</w:t>
      </w:r>
    </w:p>
    <w:tbl>
      <w:tblPr>
        <w:tblStyle w:val="32"/>
        <w:tblW w:w="894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946" w:type="dxa"/>
            <w:tcBorders>
              <w:bottom w:val="single" w:color="auto" w:sz="6" w:space="0"/>
            </w:tcBorders>
            <w:noWrap/>
          </w:tcPr>
          <w:p>
            <w:pPr>
              <w:spacing w:line="520" w:lineRule="exact"/>
              <w:rPr>
                <w:b/>
                <w:sz w:val="24"/>
              </w:rPr>
            </w:pPr>
            <w:r>
              <w:rPr>
                <w:b/>
                <w:sz w:val="24"/>
              </w:rPr>
              <w:t>工艺流程简述(图示)：</w:t>
            </w:r>
          </w:p>
          <w:p>
            <w:pPr>
              <w:spacing w:line="520" w:lineRule="exact"/>
              <w:rPr>
                <w:b/>
                <w:bCs/>
                <w:sz w:val="24"/>
              </w:rPr>
            </w:pPr>
            <w:r>
              <w:rPr>
                <w:rFonts w:hint="eastAsia"/>
                <w:b/>
                <w:bCs/>
                <w:sz w:val="24"/>
              </w:rPr>
              <w:t>一、施工期</w:t>
            </w:r>
          </w:p>
          <w:p>
            <w:pPr>
              <w:pStyle w:val="19"/>
              <w:spacing w:line="500" w:lineRule="exact"/>
              <w:ind w:firstLine="480" w:firstLineChars="200"/>
              <w:rPr>
                <w:sz w:val="24"/>
                <w:szCs w:val="24"/>
                <w:lang w:val="en-US" w:eastAsia="zh-CN"/>
              </w:rPr>
            </w:pPr>
            <w:r>
              <w:rPr>
                <w:rFonts w:hint="eastAsia"/>
                <w:color w:val="auto"/>
                <w:sz w:val="24"/>
                <w:lang w:val="en-US" w:eastAsia="zh-CN"/>
              </w:rPr>
              <w:t>项目所在厂区原为家具厂，经调查，该家具厂只进行了厂房的建设，未进行生产，无环保手续，本项目利用厂区现有生产厂房进行改造，项目施工期</w:t>
            </w:r>
            <w:r>
              <w:rPr>
                <w:rFonts w:hint="eastAsia"/>
                <w:sz w:val="24"/>
                <w:lang w:val="en-US" w:eastAsia="zh-CN"/>
              </w:rPr>
              <w:t>主要是对生产车间的封闭，设备的安装、沉淀池的建设等，项目在施工过程中对收边环境带来一定的影响。项目施工期较短，随着施工期的结束其影响也消</w:t>
            </w:r>
            <w:r>
              <w:rPr>
                <w:rFonts w:hint="eastAsia"/>
                <w:sz w:val="24"/>
                <w:szCs w:val="24"/>
                <w:lang w:val="en-US" w:eastAsia="zh-CN"/>
              </w:rPr>
              <w:t>。</w:t>
            </w:r>
          </w:p>
          <w:p>
            <w:pPr>
              <w:spacing w:line="520" w:lineRule="exact"/>
              <w:rPr>
                <w:b/>
                <w:sz w:val="24"/>
              </w:rPr>
            </w:pPr>
            <w:r>
              <w:rPr>
                <w:rFonts w:hint="eastAsia"/>
                <w:b/>
                <w:sz w:val="24"/>
              </w:rPr>
              <w:t>二、营运期</w:t>
            </w:r>
          </w:p>
          <w:p>
            <w:pPr>
              <w:spacing w:line="520" w:lineRule="exact"/>
              <w:ind w:firstLine="480" w:firstLineChars="200"/>
              <w:rPr>
                <w:sz w:val="24"/>
              </w:rPr>
            </w:pPr>
            <w:r>
              <w:rPr>
                <w:sz w:val="24"/>
              </w:rPr>
              <w:t>本项目采用</w:t>
            </w:r>
            <w:r>
              <w:rPr>
                <w:bCs/>
                <w:sz w:val="24"/>
              </w:rPr>
              <w:t>水泥、沙子、石沫</w:t>
            </w:r>
            <w:r>
              <w:rPr>
                <w:rFonts w:hint="eastAsia"/>
                <w:bCs/>
                <w:sz w:val="24"/>
              </w:rPr>
              <w:t>、</w:t>
            </w:r>
            <w:r>
              <w:rPr>
                <w:rFonts w:hint="eastAsia"/>
                <w:bCs/>
                <w:sz w:val="24"/>
                <w:lang w:eastAsia="zh-CN"/>
              </w:rPr>
              <w:t>粉煤灰</w:t>
            </w:r>
            <w:r>
              <w:rPr>
                <w:bCs/>
                <w:sz w:val="24"/>
              </w:rPr>
              <w:t>为原料，通过搅拌、液压成型、晾晒养护生产透水砖及市政工程用砖（免烧砖）</w:t>
            </w:r>
            <w:r>
              <w:rPr>
                <w:sz w:val="24"/>
              </w:rPr>
              <w:t>，其主要原料一致、主要是模具不同，</w:t>
            </w:r>
            <w:r>
              <w:rPr>
                <w:bCs/>
                <w:sz w:val="24"/>
              </w:rPr>
              <w:t>年产量合计为</w:t>
            </w:r>
            <w:r>
              <w:rPr>
                <w:rFonts w:hint="eastAsia"/>
                <w:bCs/>
                <w:sz w:val="24"/>
              </w:rPr>
              <w:t>20</w:t>
            </w:r>
            <w:r>
              <w:rPr>
                <w:bCs/>
                <w:sz w:val="24"/>
              </w:rPr>
              <w:t>00万块</w:t>
            </w:r>
            <w:r>
              <w:rPr>
                <w:rFonts w:hint="eastAsia"/>
                <w:bCs/>
                <w:sz w:val="24"/>
              </w:rPr>
              <w:t>（标砖）</w:t>
            </w:r>
            <w:r>
              <w:rPr>
                <w:bCs/>
                <w:sz w:val="24"/>
              </w:rPr>
              <w:t>。</w:t>
            </w:r>
            <w:r>
              <w:rPr>
                <w:sz w:val="24"/>
              </w:rPr>
              <w:t>本项目运营期工艺流程及产污情况见图</w:t>
            </w:r>
            <w:r>
              <w:rPr>
                <w:rFonts w:hint="eastAsia"/>
                <w:sz w:val="24"/>
                <w:lang w:val="en-US" w:eastAsia="zh-CN"/>
              </w:rPr>
              <w:t>1</w:t>
            </w:r>
            <w:r>
              <w:rPr>
                <w:sz w:val="24"/>
              </w:rPr>
              <w:t>。</w:t>
            </w:r>
          </w:p>
          <w:p>
            <w:pPr>
              <w:ind w:firstLine="480" w:firstLineChars="200"/>
              <w:rPr>
                <w:sz w:val="24"/>
              </w:rPr>
            </w:pPr>
            <w:r>
              <w:rPr>
                <w:sz w:val="24"/>
              </w:rPr>
              <mc:AlternateContent>
                <mc:Choice Requires="wpg">
                  <w:drawing>
                    <wp:anchor distT="0" distB="0" distL="114300" distR="114300" simplePos="0" relativeHeight="251811840" behindDoc="0" locked="0" layoutInCell="1" allowOverlap="1">
                      <wp:simplePos x="0" y="0"/>
                      <wp:positionH relativeFrom="column">
                        <wp:posOffset>28575</wp:posOffset>
                      </wp:positionH>
                      <wp:positionV relativeFrom="paragraph">
                        <wp:posOffset>86995</wp:posOffset>
                      </wp:positionV>
                      <wp:extent cx="5485130" cy="4359275"/>
                      <wp:effectExtent l="4445" t="0" r="0" b="0"/>
                      <wp:wrapNone/>
                      <wp:docPr id="308" name="组合 308"/>
                      <wp:cNvGraphicFramePr/>
                      <a:graphic xmlns:a="http://schemas.openxmlformats.org/drawingml/2006/main">
                        <a:graphicData uri="http://schemas.microsoft.com/office/word/2010/wordprocessingGroup">
                          <wpg:wgp>
                            <wpg:cNvGrpSpPr/>
                            <wpg:grpSpPr>
                              <a:xfrm>
                                <a:off x="1073150" y="4755515"/>
                                <a:ext cx="5485130" cy="4359275"/>
                                <a:chOff x="7211" y="433445"/>
                                <a:chExt cx="8638" cy="6865"/>
                              </a:xfrm>
                              <a:effectLst/>
                            </wpg:grpSpPr>
                            <wpg:grpSp>
                              <wpg:cNvPr id="307" name="组合 307"/>
                              <wpg:cNvGrpSpPr/>
                              <wpg:grpSpPr>
                                <a:xfrm>
                                  <a:off x="8153" y="435856"/>
                                  <a:ext cx="5205" cy="4454"/>
                                  <a:chOff x="8053" y="436456"/>
                                  <a:chExt cx="5205" cy="4454"/>
                                </a:xfrm>
                                <a:effectLst/>
                              </wpg:grpSpPr>
                              <wpg:grpSp>
                                <wpg:cNvPr id="3" name="组合 458"/>
                                <wpg:cNvGrpSpPr/>
                                <wpg:grpSpPr>
                                  <a:xfrm>
                                    <a:off x="8929" y="439621"/>
                                    <a:ext cx="1070" cy="423"/>
                                    <a:chOff x="9701" y="402013"/>
                                    <a:chExt cx="1070" cy="423"/>
                                  </a:xfrm>
                                  <a:effectLst/>
                                </wpg:grpSpPr>
                                <wps:wsp>
                                  <wps:cNvPr id="2" name="直线 191"/>
                                  <wps:cNvCnPr/>
                                  <wps:spPr>
                                    <a:xfrm>
                                      <a:off x="10275" y="402209"/>
                                      <a:ext cx="496" cy="5"/>
                                    </a:xfrm>
                                    <a:prstGeom prst="line">
                                      <a:avLst/>
                                    </a:prstGeom>
                                    <a:ln w="9525" cap="flat" cmpd="sng">
                                      <a:solidFill>
                                        <a:srgbClr val="000000"/>
                                      </a:solidFill>
                                      <a:prstDash val="solid"/>
                                      <a:headEnd type="none" w="med" len="med"/>
                                      <a:tailEnd type="triangle" w="med" len="med"/>
                                    </a:ln>
                                    <a:effectLst/>
                                  </wps:spPr>
                                  <wps:bodyPr upright="1"/>
                                </wps:wsp>
                                <wps:wsp>
                                  <wps:cNvPr id="4" name="矩形 227"/>
                                  <wps:cNvSpPr/>
                                  <wps:spPr>
                                    <a:xfrm>
                                      <a:off x="9701" y="402013"/>
                                      <a:ext cx="790" cy="423"/>
                                    </a:xfrm>
                                    <a:prstGeom prst="rect">
                                      <a:avLst/>
                                    </a:prstGeom>
                                    <a:noFill/>
                                    <a:ln>
                                      <a:noFill/>
                                    </a:ln>
                                    <a:effectLst/>
                                  </wps:spPr>
                                  <wps:txbx>
                                    <w:txbxContent>
                                      <w:p>
                                        <w:pPr>
                                          <w:adjustRightInd w:val="0"/>
                                          <w:snapToGrid w:val="0"/>
                                          <w:rPr>
                                            <w:szCs w:val="21"/>
                                          </w:rPr>
                                        </w:pPr>
                                        <w:r>
                                          <w:rPr>
                                            <w:rFonts w:hint="eastAsia"/>
                                            <w:szCs w:val="21"/>
                                          </w:rPr>
                                          <w:t>水</w:t>
                                        </w:r>
                                      </w:p>
                                    </w:txbxContent>
                                  </wps:txbx>
                                  <wps:bodyPr wrap="square" upright="1"/>
                                </wps:wsp>
                              </wpg:grpSp>
                              <wps:wsp>
                                <wps:cNvPr id="15" name="文本框 472"/>
                                <wps:cNvSpPr txBox="1"/>
                                <wps:spPr>
                                  <a:xfrm>
                                    <a:off x="9941" y="437887"/>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搅拌</w:t>
                                      </w:r>
                                    </w:p>
                                  </w:txbxContent>
                                </wps:txbx>
                                <wps:bodyPr wrap="square" lIns="18000" tIns="43200" rIns="18000" bIns="54000" upright="1"/>
                              </wps:wsp>
                              <wps:wsp>
                                <wps:cNvPr id="22" name="自选图形 479"/>
                                <wps:cNvCnPr/>
                                <wps:spPr>
                                  <a:xfrm flipV="1">
                                    <a:off x="11466" y="436924"/>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3" name="文本框 480"/>
                                <wps:cNvSpPr txBox="1"/>
                                <wps:spPr>
                                  <a:xfrm>
                                    <a:off x="11703" y="436739"/>
                                    <a:ext cx="1555" cy="455"/>
                                  </a:xfrm>
                                  <a:prstGeom prst="rect">
                                    <a:avLst/>
                                  </a:prstGeom>
                                  <a:noFill/>
                                  <a:ln>
                                    <a:noFill/>
                                  </a:ln>
                                  <a:effectLst/>
                                </wps:spPr>
                                <wps:txbx>
                                  <w:txbxContent>
                                    <w:p>
                                      <w:pPr>
                                        <w:jc w:val="center"/>
                                        <w:rPr>
                                          <w:rFonts w:hint="eastAsia" w:ascii="Calibri" w:hAnsi="Calibri"/>
                                        </w:rPr>
                                      </w:pPr>
                                      <w:r>
                                        <w:rPr>
                                          <w:rFonts w:hint="eastAsia" w:ascii="Calibri" w:hAnsi="Calibri"/>
                                          <w:lang w:eastAsia="zh-CN"/>
                                        </w:rPr>
                                        <w:t>颗粒物</w:t>
                                      </w:r>
                                      <w:r>
                                        <w:rPr>
                                          <w:rFonts w:hint="eastAsia" w:ascii="Calibri" w:hAnsi="Calibri"/>
                                        </w:rPr>
                                        <w:t>、固废</w:t>
                                      </w:r>
                                    </w:p>
                                  </w:txbxContent>
                                </wps:txbx>
                                <wps:bodyPr wrap="square" lIns="18000" tIns="43200" rIns="18000" bIns="54000" upright="1"/>
                              </wps:wsp>
                              <wps:wsp>
                                <wps:cNvPr id="35" name="自选图形 493"/>
                                <wps:cNvCnPr/>
                                <wps:spPr>
                                  <a:xfrm>
                                    <a:off x="10701" y="437500"/>
                                    <a:ext cx="2" cy="396"/>
                                  </a:xfrm>
                                  <a:prstGeom prst="straightConnector1">
                                    <a:avLst/>
                                  </a:prstGeom>
                                  <a:ln w="9525" cap="flat" cmpd="sng">
                                    <a:solidFill>
                                      <a:srgbClr val="000000"/>
                                    </a:solidFill>
                                    <a:prstDash val="solid"/>
                                    <a:headEnd type="none" w="med" len="med"/>
                                    <a:tailEnd type="triangle" w="med" len="med"/>
                                  </a:ln>
                                  <a:effectLst/>
                                </wps:spPr>
                                <wps:bodyPr/>
                              </wps:wsp>
                              <wps:wsp>
                                <wps:cNvPr id="36" name="文本框 494"/>
                                <wps:cNvSpPr txBox="1"/>
                                <wps:spPr>
                                  <a:xfrm>
                                    <a:off x="9939" y="437044"/>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配比</w:t>
                                      </w:r>
                                    </w:p>
                                  </w:txbxContent>
                                </wps:txbx>
                                <wps:bodyPr wrap="square" lIns="18000" tIns="43200" rIns="18000" bIns="54000" upright="1"/>
                              </wps:wsp>
                              <wps:wsp>
                                <wps:cNvPr id="37" name="自选图形 495"/>
                                <wps:cNvCnPr/>
                                <wps:spPr>
                                  <a:xfrm>
                                    <a:off x="10694" y="436456"/>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8" name="文本框 496"/>
                                <wps:cNvSpPr txBox="1"/>
                                <wps:spPr>
                                  <a:xfrm>
                                    <a:off x="9943" y="438745"/>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切块成型</w:t>
                                      </w:r>
                                    </w:p>
                                  </w:txbxContent>
                                </wps:txbx>
                                <wps:bodyPr wrap="square" lIns="18000" tIns="43200" rIns="18000" bIns="54000" upright="1"/>
                              </wps:wsp>
                              <wps:wsp>
                                <wps:cNvPr id="39" name="自选图形 497"/>
                                <wps:cNvCnPr/>
                                <wps:spPr>
                                  <a:xfrm>
                                    <a:off x="10699" y="439201"/>
                                    <a:ext cx="2" cy="396"/>
                                  </a:xfrm>
                                  <a:prstGeom prst="straightConnector1">
                                    <a:avLst/>
                                  </a:prstGeom>
                                  <a:ln w="9525" cap="flat" cmpd="sng">
                                    <a:solidFill>
                                      <a:srgbClr val="000000"/>
                                    </a:solidFill>
                                    <a:prstDash val="solid"/>
                                    <a:headEnd type="none" w="med" len="med"/>
                                    <a:tailEnd type="triangle" w="med" len="med"/>
                                  </a:ln>
                                  <a:effectLst/>
                                </wps:spPr>
                                <wps:bodyPr/>
                              </wps:wsp>
                              <wps:wsp>
                                <wps:cNvPr id="44" name="文本框 502"/>
                                <wps:cNvSpPr txBox="1"/>
                                <wps:spPr>
                                  <a:xfrm>
                                    <a:off x="9978" y="439581"/>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自然养护</w:t>
                                      </w:r>
                                    </w:p>
                                    <w:p>
                                      <w:pPr>
                                        <w:jc w:val="center"/>
                                      </w:pPr>
                                      <w:r>
                                        <w:rPr>
                                          <w:rFonts w:hint="eastAsia"/>
                                        </w:rPr>
                                        <w:t>外售</w:t>
                                      </w:r>
                                    </w:p>
                                  </w:txbxContent>
                                </wps:txbx>
                                <wps:bodyPr wrap="square" lIns="18000" tIns="43200" rIns="18000" bIns="54000" upright="1"/>
                              </wps:wsp>
                              <wps:wsp>
                                <wps:cNvPr id="45" name="自选图形 503"/>
                                <wps:cNvCnPr/>
                                <wps:spPr>
                                  <a:xfrm flipV="1">
                                    <a:off x="11455" y="438589"/>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46" name="文本框 504"/>
                                <wps:cNvSpPr txBox="1"/>
                                <wps:spPr>
                                  <a:xfrm>
                                    <a:off x="11889" y="438361"/>
                                    <a:ext cx="1011" cy="455"/>
                                  </a:xfrm>
                                  <a:prstGeom prst="rect">
                                    <a:avLst/>
                                  </a:prstGeom>
                                  <a:noFill/>
                                  <a:ln>
                                    <a:noFill/>
                                  </a:ln>
                                  <a:effectLst/>
                                </wps:spPr>
                                <wps:txbx>
                                  <w:txbxContent>
                                    <w:p>
                                      <w:pPr>
                                        <w:jc w:val="center"/>
                                        <w:rPr>
                                          <w:rFonts w:ascii="Calibri" w:hAnsi="Calibri"/>
                                        </w:rPr>
                                      </w:pPr>
                                      <w:r>
                                        <w:rPr>
                                          <w:rFonts w:hint="eastAsia" w:ascii="Calibri" w:hAnsi="Calibri"/>
                                        </w:rPr>
                                        <w:t>噪声、固废</w:t>
                                      </w:r>
                                    </w:p>
                                  </w:txbxContent>
                                </wps:txbx>
                                <wps:bodyPr wrap="square" lIns="18000" tIns="43200" rIns="18000" bIns="54000" upright="1"/>
                              </wps:wsp>
                              <wps:wsp>
                                <wps:cNvPr id="47" name="自选图形 505"/>
                                <wps:cNvCnPr/>
                                <wps:spPr>
                                  <a:xfrm>
                                    <a:off x="10703" y="438343"/>
                                    <a:ext cx="2" cy="396"/>
                                  </a:xfrm>
                                  <a:prstGeom prst="straightConnector1">
                                    <a:avLst/>
                                  </a:prstGeom>
                                  <a:ln w="9525" cap="flat" cmpd="sng">
                                    <a:solidFill>
                                      <a:srgbClr val="000000"/>
                                    </a:solidFill>
                                    <a:prstDash val="solid"/>
                                    <a:headEnd type="none" w="med" len="med"/>
                                    <a:tailEnd type="triangle" w="med" len="med"/>
                                  </a:ln>
                                  <a:effectLst/>
                                </wps:spPr>
                                <wps:bodyPr/>
                              </wps:wsp>
                              <wps:wsp>
                                <wps:cNvPr id="48" name="自选图形 506"/>
                                <wps:cNvCnPr/>
                                <wps:spPr>
                                  <a:xfrm flipV="1">
                                    <a:off x="11468" y="437719"/>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49" name="文本框 507"/>
                                <wps:cNvSpPr txBox="1"/>
                                <wps:spPr>
                                  <a:xfrm>
                                    <a:off x="11915" y="437551"/>
                                    <a:ext cx="1235" cy="455"/>
                                  </a:xfrm>
                                  <a:prstGeom prst="rect">
                                    <a:avLst/>
                                  </a:prstGeom>
                                  <a:noFill/>
                                  <a:ln>
                                    <a:noFill/>
                                  </a:ln>
                                  <a:effectLst/>
                                </wps:spPr>
                                <wps:txbx>
                                  <w:txbxContent>
                                    <w:p>
                                      <w:pPr>
                                        <w:jc w:val="center"/>
                                        <w:rPr>
                                          <w:rFonts w:ascii="Calibri" w:hAnsi="Calibri"/>
                                        </w:rPr>
                                      </w:pPr>
                                      <w:r>
                                        <w:rPr>
                                          <w:rFonts w:hint="eastAsia" w:ascii="Calibri" w:hAnsi="Calibri"/>
                                          <w:lang w:eastAsia="zh-CN"/>
                                        </w:rPr>
                                        <w:t>颗粒物</w:t>
                                      </w:r>
                                      <w:r>
                                        <w:rPr>
                                          <w:rFonts w:hint="eastAsia" w:ascii="Calibri" w:hAnsi="Calibri"/>
                                        </w:rPr>
                                        <w:t>、噪声</w:t>
                                      </w:r>
                                    </w:p>
                                  </w:txbxContent>
                                </wps:txbx>
                                <wps:bodyPr wrap="square" lIns="18000" tIns="43200" rIns="18000" bIns="54000" upright="1"/>
                              </wps:wsp>
                              <wps:wsp>
                                <wps:cNvPr id="52" name="自选图形 510"/>
                                <wps:cNvCnPr/>
                                <wps:spPr>
                                  <a:xfrm>
                                    <a:off x="10703" y="440032"/>
                                    <a:ext cx="0" cy="379"/>
                                  </a:xfrm>
                                  <a:prstGeom prst="straightConnector1">
                                    <a:avLst/>
                                  </a:prstGeom>
                                  <a:ln w="9525" cap="flat" cmpd="sng">
                                    <a:solidFill>
                                      <a:srgbClr val="000000"/>
                                    </a:solidFill>
                                    <a:prstDash val="solid"/>
                                    <a:headEnd type="none" w="med" len="med"/>
                                    <a:tailEnd type="triangle" w="med" len="med"/>
                                  </a:ln>
                                  <a:effectLst/>
                                </wps:spPr>
                                <wps:bodyPr/>
                              </wps:wsp>
                              <wps:wsp>
                                <wps:cNvPr id="53" name="矩形 196"/>
                                <wps:cNvSpPr/>
                                <wps:spPr>
                                  <a:xfrm>
                                    <a:off x="10188" y="440361"/>
                                    <a:ext cx="960" cy="549"/>
                                  </a:xfrm>
                                  <a:prstGeom prst="rect">
                                    <a:avLst/>
                                  </a:prstGeom>
                                  <a:noFill/>
                                  <a:ln>
                                    <a:noFill/>
                                  </a:ln>
                                  <a:effectLst/>
                                </wps:spPr>
                                <wps:txbx>
                                  <w:txbxContent>
                                    <w:p>
                                      <w:pPr>
                                        <w:adjustRightInd w:val="0"/>
                                        <w:snapToGrid w:val="0"/>
                                        <w:jc w:val="center"/>
                                        <w:rPr>
                                          <w:rFonts w:hint="eastAsia"/>
                                          <w:szCs w:val="21"/>
                                        </w:rPr>
                                      </w:pPr>
                                      <w:r>
                                        <w:rPr>
                                          <w:rFonts w:hint="eastAsia"/>
                                          <w:szCs w:val="21"/>
                                        </w:rPr>
                                        <w:t>成品</w:t>
                                      </w:r>
                                    </w:p>
                                  </w:txbxContent>
                                </wps:txbx>
                                <wps:bodyPr wrap="square" upright="1"/>
                              </wps:wsp>
                              <wps:wsp>
                                <wps:cNvPr id="146" name="直线 191"/>
                                <wps:cNvCnPr/>
                                <wps:spPr>
                                  <a:xfrm>
                                    <a:off x="9468" y="439040"/>
                                    <a:ext cx="496" cy="5"/>
                                  </a:xfrm>
                                  <a:prstGeom prst="line">
                                    <a:avLst/>
                                  </a:prstGeom>
                                  <a:ln w="9525" cap="flat" cmpd="sng">
                                    <a:solidFill>
                                      <a:srgbClr val="000000"/>
                                    </a:solidFill>
                                    <a:prstDash val="solid"/>
                                    <a:headEnd type="none" w="med" len="med"/>
                                    <a:tailEnd type="triangle" w="med" len="med"/>
                                  </a:ln>
                                  <a:effectLst/>
                                </wps:spPr>
                                <wps:bodyPr upright="1"/>
                              </wps:wsp>
                              <wps:wsp>
                                <wps:cNvPr id="147" name="矩形 227"/>
                                <wps:cNvSpPr/>
                                <wps:spPr>
                                  <a:xfrm>
                                    <a:off x="8053" y="438856"/>
                                    <a:ext cx="1456" cy="423"/>
                                  </a:xfrm>
                                  <a:prstGeom prst="rect">
                                    <a:avLst/>
                                  </a:prstGeom>
                                  <a:noFill/>
                                  <a:ln>
                                    <a:noFill/>
                                  </a:ln>
                                  <a:effectLst/>
                                </wps:spPr>
                                <wps:txbx>
                                  <w:txbxContent>
                                    <w:p>
                                      <w:pPr>
                                        <w:adjustRightInd w:val="0"/>
                                        <w:snapToGrid w:val="0"/>
                                        <w:rPr>
                                          <w:rFonts w:hint="eastAsia"/>
                                          <w:szCs w:val="21"/>
                                        </w:rPr>
                                      </w:pPr>
                                      <w:r>
                                        <w:rPr>
                                          <w:rFonts w:hint="eastAsia"/>
                                          <w:szCs w:val="21"/>
                                        </w:rPr>
                                        <w:t>透水剂、颜料</w:t>
                                      </w:r>
                                    </w:p>
                                  </w:txbxContent>
                                </wps:txbx>
                                <wps:bodyPr wrap="square" upright="1"/>
                              </wps:wsp>
                            </wpg:grpSp>
                            <wpg:grpSp>
                              <wpg:cNvPr id="303" name="组合 303"/>
                              <wpg:cNvGrpSpPr/>
                              <wpg:grpSpPr>
                                <a:xfrm>
                                  <a:off x="7211" y="433445"/>
                                  <a:ext cx="8638" cy="2442"/>
                                  <a:chOff x="7497" y="415529"/>
                                  <a:chExt cx="8638" cy="2442"/>
                                </a:xfrm>
                                <a:effectLst/>
                              </wpg:grpSpPr>
                              <wps:wsp>
                                <wps:cNvPr id="5" name="文本框 462"/>
                                <wps:cNvSpPr txBox="1"/>
                                <wps:spPr>
                                  <a:xfrm>
                                    <a:off x="7497" y="415812"/>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水泥</w:t>
                                      </w:r>
                                    </w:p>
                                  </w:txbxContent>
                                </wps:txbx>
                                <wps:bodyPr wrap="square" lIns="18000" tIns="43200" rIns="18000" bIns="54000" upright="1"/>
                              </wps:wsp>
                              <wps:wsp>
                                <wps:cNvPr id="6" name="文本框 463"/>
                                <wps:cNvSpPr txBox="1"/>
                                <wps:spPr>
                                  <a:xfrm>
                                    <a:off x="7497" y="416892"/>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水泥罐</w:t>
                                      </w:r>
                                    </w:p>
                                  </w:txbxContent>
                                </wps:txbx>
                                <wps:bodyPr wrap="square" lIns="18000" tIns="43200" rIns="18000" bIns="54000" upright="1"/>
                              </wps:wsp>
                              <wps:wsp>
                                <wps:cNvPr id="7" name="文本框 464"/>
                                <wps:cNvSpPr txBox="1"/>
                                <wps:spPr>
                                  <a:xfrm>
                                    <a:off x="9429" y="415773"/>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沙子</w:t>
                                      </w:r>
                                    </w:p>
                                  </w:txbxContent>
                                </wps:txbx>
                                <wps:bodyPr wrap="square" lIns="18000" tIns="43200" rIns="18000" bIns="54000" upright="1"/>
                              </wps:wsp>
                              <wps:wsp>
                                <wps:cNvPr id="8" name="文本框 465"/>
                                <wps:cNvSpPr txBox="1"/>
                                <wps:spPr>
                                  <a:xfrm>
                                    <a:off x="9429" y="416901"/>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原料仓库</w:t>
                                      </w:r>
                                    </w:p>
                                  </w:txbxContent>
                                </wps:txbx>
                                <wps:bodyPr wrap="square" lIns="18000" tIns="43200" rIns="18000" bIns="54000" upright="1"/>
                              </wps:wsp>
                              <wps:wsp>
                                <wps:cNvPr id="14" name="自选图形 471"/>
                                <wps:cNvCnPr/>
                                <wps:spPr>
                                  <a:xfrm>
                                    <a:off x="8001" y="417360"/>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16" name="自选图形 473"/>
                                <wps:cNvCnPr/>
                                <wps:spPr>
                                  <a:xfrm flipV="1">
                                    <a:off x="8565" y="416724"/>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17" name="文本框 474"/>
                                <wps:cNvSpPr txBox="1"/>
                                <wps:spPr>
                                  <a:xfrm>
                                    <a:off x="8553" y="416301"/>
                                    <a:ext cx="801" cy="45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wps:wsp>
                                <wps:cNvPr id="18" name="自选图形 475"/>
                                <wps:cNvCnPr/>
                                <wps:spPr>
                                  <a:xfrm flipV="1">
                                    <a:off x="10497" y="416697"/>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6" name="文本框 484"/>
                                <wps:cNvSpPr txBox="1"/>
                                <wps:spPr>
                                  <a:xfrm>
                                    <a:off x="7785" y="417432"/>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7" name="文本框 485"/>
                                <wps:cNvSpPr txBox="1"/>
                                <wps:spPr>
                                  <a:xfrm>
                                    <a:off x="9728" y="417453"/>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9" name="自选图形 487"/>
                                <wps:cNvCnPr/>
                                <wps:spPr>
                                  <a:xfrm>
                                    <a:off x="8003" y="416268"/>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0" name="自选图形 488"/>
                                <wps:cNvCnPr/>
                                <wps:spPr>
                                  <a:xfrm>
                                    <a:off x="9946" y="416253"/>
                                    <a:ext cx="2" cy="611"/>
                                  </a:xfrm>
                                  <a:prstGeom prst="straightConnector1">
                                    <a:avLst/>
                                  </a:prstGeom>
                                  <a:ln w="9525" cap="flat" cmpd="sng">
                                    <a:solidFill>
                                      <a:srgbClr val="000000"/>
                                    </a:solidFill>
                                    <a:prstDash val="solid"/>
                                    <a:headEnd type="none" w="med" len="med"/>
                                    <a:tailEnd type="triangle" w="med" len="med"/>
                                  </a:ln>
                                  <a:effectLst/>
                                </wps:spPr>
                                <wps:bodyPr/>
                              </wps:wsp>
                              <wpg:grpSp>
                                <wpg:cNvPr id="304" name="组合 229"/>
                                <wpg:cNvGrpSpPr/>
                                <wpg:grpSpPr>
                                  <a:xfrm>
                                    <a:off x="14182" y="415529"/>
                                    <a:ext cx="1953" cy="2410"/>
                                    <a:chOff x="8571" y="415545"/>
                                    <a:chExt cx="1953" cy="2410"/>
                                  </a:xfrm>
                                  <a:effectLst/>
                                </wpg:grpSpPr>
                                <wps:wsp>
                                  <wps:cNvPr id="11" name="文本框 468"/>
                                  <wps:cNvSpPr txBox="1"/>
                                  <wps:spPr>
                                    <a:xfrm>
                                      <a:off x="8571" y="415761"/>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水泵</w:t>
                                        </w:r>
                                      </w:p>
                                    </w:txbxContent>
                                  </wps:txbx>
                                  <wps:bodyPr wrap="square" lIns="18000" tIns="43200" rIns="18000" bIns="54000" upright="1"/>
                                </wps:wsp>
                                <wps:wsp>
                                  <wps:cNvPr id="12" name="自选图形 469"/>
                                  <wps:cNvCnPr/>
                                  <wps:spPr>
                                    <a:xfrm>
                                      <a:off x="9087" y="416217"/>
                                      <a:ext cx="1" cy="1739"/>
                                    </a:xfrm>
                                    <a:prstGeom prst="straightConnector1">
                                      <a:avLst/>
                                    </a:prstGeom>
                                    <a:ln w="9525" cap="flat" cmpd="sng">
                                      <a:solidFill>
                                        <a:srgbClr val="000000"/>
                                      </a:solidFill>
                                      <a:prstDash val="solid"/>
                                      <a:headEnd type="none" w="med" len="med"/>
                                      <a:tailEnd type="triangle" w="med" len="med"/>
                                    </a:ln>
                                    <a:effectLst/>
                                  </wps:spPr>
                                  <wps:bodyPr/>
                                </wps:wsp>
                                <wps:wsp>
                                  <wps:cNvPr id="13" name="文本框 470"/>
                                  <wps:cNvSpPr txBox="1"/>
                                  <wps:spPr>
                                    <a:xfrm>
                                      <a:off x="8880" y="416997"/>
                                      <a:ext cx="1068" cy="491"/>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4" name="自选图形 482"/>
                                  <wps:cNvCnPr/>
                                  <wps:spPr>
                                    <a:xfrm flipV="1">
                                      <a:off x="9639" y="415605"/>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5" name="文本框 483"/>
                                  <wps:cNvSpPr txBox="1"/>
                                  <wps:spPr>
                                    <a:xfrm>
                                      <a:off x="9948" y="415545"/>
                                      <a:ext cx="576" cy="455"/>
                                    </a:xfrm>
                                    <a:prstGeom prst="rect">
                                      <a:avLst/>
                                    </a:prstGeom>
                                    <a:noFill/>
                                    <a:ln>
                                      <a:noFill/>
                                    </a:ln>
                                    <a:effectLst/>
                                  </wps:spPr>
                                  <wps:txbx>
                                    <w:txbxContent>
                                      <w:p>
                                        <w:pPr>
                                          <w:jc w:val="center"/>
                                          <w:rPr>
                                            <w:rFonts w:hint="eastAsia" w:ascii="Calibri" w:hAnsi="Calibri"/>
                                          </w:rPr>
                                        </w:pPr>
                                        <w:r>
                                          <w:rPr>
                                            <w:rFonts w:hint="eastAsia" w:ascii="Calibri" w:hAnsi="Calibri"/>
                                          </w:rPr>
                                          <w:t>噪声</w:t>
                                        </w:r>
                                      </w:p>
                                    </w:txbxContent>
                                  </wps:txbx>
                                  <wps:bodyPr wrap="square" lIns="18000" tIns="43200" rIns="18000" bIns="54000" upright="1"/>
                                </wps:wsp>
                              </wpg:grpSp>
                              <wps:wsp>
                                <wps:cNvPr id="32" name="自选图形 490"/>
                                <wps:cNvCnPr/>
                                <wps:spPr>
                                  <a:xfrm>
                                    <a:off x="9948" y="417357"/>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4" name="自选图形 492"/>
                                <wps:cNvCnPr/>
                                <wps:spPr>
                                  <a:xfrm flipV="1">
                                    <a:off x="7981" y="417919"/>
                                    <a:ext cx="6735" cy="1"/>
                                  </a:xfrm>
                                  <a:prstGeom prst="straightConnector1">
                                    <a:avLst/>
                                  </a:prstGeom>
                                  <a:ln w="9525" cap="flat" cmpd="sng">
                                    <a:solidFill>
                                      <a:srgbClr val="000000"/>
                                    </a:solidFill>
                                    <a:prstDash val="solid"/>
                                    <a:headEnd type="none" w="med" len="med"/>
                                    <a:tailEnd type="none" w="med" len="med"/>
                                  </a:ln>
                                  <a:effectLst/>
                                </wps:spPr>
                                <wps:bodyPr/>
                              </wps:wsp>
                              <wpg:grpSp>
                                <wpg:cNvPr id="305" name="组合 230"/>
                                <wpg:cNvGrpSpPr/>
                                <wpg:grpSpPr>
                                  <a:xfrm>
                                    <a:off x="11085" y="415797"/>
                                    <a:ext cx="1512" cy="2159"/>
                                    <a:chOff x="6976" y="415797"/>
                                    <a:chExt cx="1512" cy="2159"/>
                                  </a:xfrm>
                                  <a:effectLst/>
                                </wpg:grpSpPr>
                                <wps:wsp>
                                  <wps:cNvPr id="9" name="文本框 466"/>
                                  <wps:cNvSpPr txBox="1"/>
                                  <wps:spPr>
                                    <a:xfrm>
                                      <a:off x="6976" y="41579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石沫</w:t>
                                        </w:r>
                                      </w:p>
                                    </w:txbxContent>
                                  </wps:txbx>
                                  <wps:bodyPr wrap="square" lIns="18000" tIns="43200" rIns="18000" bIns="54000" upright="1"/>
                                </wps:wsp>
                                <wps:wsp>
                                  <wps:cNvPr id="10" name="文本框 467"/>
                                  <wps:cNvSpPr txBox="1"/>
                                  <wps:spPr>
                                    <a:xfrm>
                                      <a:off x="6976" y="41687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原料仓库</w:t>
                                        </w:r>
                                      </w:p>
                                    </w:txbxContent>
                                  </wps:txbx>
                                  <wps:bodyPr wrap="square" lIns="18000" tIns="43200" rIns="18000" bIns="54000" upright="1"/>
                                </wps:wsp>
                                <wps:wsp>
                                  <wps:cNvPr id="20" name="自选图形 477"/>
                                  <wps:cNvCnPr/>
                                  <wps:spPr>
                                    <a:xfrm flipV="1">
                                      <a:off x="8044" y="416673"/>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8" name="文本框 486"/>
                                  <wps:cNvSpPr txBox="1"/>
                                  <wps:spPr>
                                    <a:xfrm>
                                      <a:off x="7252" y="417417"/>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31" name="自选图形 489"/>
                                  <wps:cNvCnPr/>
                                  <wps:spPr>
                                    <a:xfrm>
                                      <a:off x="7491" y="416265"/>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3" name="自选图形 491"/>
                                  <wps:cNvCnPr/>
                                  <wps:spPr>
                                    <a:xfrm>
                                      <a:off x="7493" y="417345"/>
                                      <a:ext cx="2" cy="611"/>
                                    </a:xfrm>
                                    <a:prstGeom prst="straightConnector1">
                                      <a:avLst/>
                                    </a:prstGeom>
                                    <a:ln w="9525" cap="flat" cmpd="sng">
                                      <a:solidFill>
                                        <a:srgbClr val="000000"/>
                                      </a:solidFill>
                                      <a:prstDash val="solid"/>
                                      <a:headEnd type="none" w="med" len="med"/>
                                      <a:tailEnd type="triangle" w="med" len="med"/>
                                    </a:ln>
                                    <a:effectLst/>
                                  </wps:spPr>
                                  <wps:bodyPr/>
                                </wps:wsp>
                              </wpg:grpSp>
                              <wpg:grpSp>
                                <wpg:cNvPr id="306" name="组合 231"/>
                                <wpg:cNvGrpSpPr/>
                                <wpg:grpSpPr>
                                  <a:xfrm>
                                    <a:off x="12552" y="415797"/>
                                    <a:ext cx="1512" cy="2159"/>
                                    <a:chOff x="6976" y="415797"/>
                                    <a:chExt cx="1512" cy="2159"/>
                                  </a:xfrm>
                                  <a:effectLst/>
                                </wpg:grpSpPr>
                                <wps:wsp>
                                  <wps:cNvPr id="232" name="文本框 466"/>
                                  <wps:cNvSpPr txBox="1"/>
                                  <wps:spPr>
                                    <a:xfrm>
                                      <a:off x="6976" y="41579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粉煤灰</w:t>
                                        </w:r>
                                      </w:p>
                                    </w:txbxContent>
                                  </wps:txbx>
                                  <wps:bodyPr wrap="square" lIns="18000" tIns="43200" rIns="18000" bIns="54000" upright="1"/>
                                </wps:wsp>
                                <wps:wsp>
                                  <wps:cNvPr id="233" name="文本框 467"/>
                                  <wps:cNvSpPr txBox="1"/>
                                  <wps:spPr>
                                    <a:xfrm>
                                      <a:off x="6976" y="41687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粉煤灰罐</w:t>
                                        </w:r>
                                      </w:p>
                                    </w:txbxContent>
                                  </wps:txbx>
                                  <wps:bodyPr wrap="square" lIns="18000" tIns="43200" rIns="18000" bIns="54000" upright="1"/>
                                </wps:wsp>
                                <wps:wsp>
                                  <wps:cNvPr id="234" name="自选图形 477"/>
                                  <wps:cNvCnPr/>
                                  <wps:spPr>
                                    <a:xfrm flipV="1">
                                      <a:off x="8044" y="416673"/>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36" name="文本框 486"/>
                                  <wps:cNvSpPr txBox="1"/>
                                  <wps:spPr>
                                    <a:xfrm>
                                      <a:off x="7252" y="417417"/>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37" name="自选图形 489"/>
                                  <wps:cNvCnPr/>
                                  <wps:spPr>
                                    <a:xfrm>
                                      <a:off x="7491" y="416265"/>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238" name="自选图形 491"/>
                                  <wps:cNvCnPr/>
                                  <wps:spPr>
                                    <a:xfrm>
                                      <a:off x="7493" y="417345"/>
                                      <a:ext cx="2" cy="611"/>
                                    </a:xfrm>
                                    <a:prstGeom prst="straightConnector1">
                                      <a:avLst/>
                                    </a:prstGeom>
                                    <a:ln w="9525" cap="flat" cmpd="sng">
                                      <a:solidFill>
                                        <a:srgbClr val="000000"/>
                                      </a:solidFill>
                                      <a:prstDash val="solid"/>
                                      <a:headEnd type="none" w="med" len="med"/>
                                      <a:tailEnd type="triangle" w="med" len="med"/>
                                    </a:ln>
                                    <a:effectLst/>
                                  </wps:spPr>
                                  <wps:bodyPr/>
                                </wps:wsp>
                              </wpg:grpSp>
                            </wpg:grpSp>
                          </wpg:wgp>
                        </a:graphicData>
                      </a:graphic>
                    </wp:anchor>
                  </w:drawing>
                </mc:Choice>
                <mc:Fallback>
                  <w:pict>
                    <v:group id="_x0000_s1026" o:spid="_x0000_s1026" o:spt="203" style="position:absolute;left:0pt;margin-left:2.25pt;margin-top:6.85pt;height:343.25pt;width:431.9pt;z-index:251811840;mso-width-relative:page;mso-height-relative:page;" coordorigin="7211,433445" coordsize="8638,6865" o:gfxdata="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">
                      <o:lock v:ext="edit" aspectratio="f"/>
                      <v:group id="_x0000_s1026" o:spid="_x0000_s1026" o:spt="203" style="position:absolute;left:8153;top:435856;height:4454;width:5205;" coordorigin="8053,436456" coordsize="5205,4454" o:gfxdata="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vt2tEvwAAANwAAAAPAAAAAAAAAAEAIAAAACIAAABkcnMvZG93bnJldi54&#10;bWxQSwECFAAUAAAACACHTuJAMy8FnjsAAAA5AAAAFQAAAAAAAAABACAAAAAOAQAAZHJzL2dyb3Vw&#10;c2hhcGV4bWwueG1sUEsFBgAAAAAGAAYAYAEAAMsDAAAAAA==&#10;">
                        <o:lock v:ext="edit" aspectratio="f"/>
                        <v:group id="组合 458" o:spid="_x0000_s1026" o:spt="203" style="position:absolute;left:8929;top:439621;height:423;width:1070;" coordorigin="9701,402013" coordsize="1070,423"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line id="直线 191" o:spid="_x0000_s1026" o:spt="20" style="position:absolute;left:10275;top:402209;height:5;width:496;"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27" o:spid="_x0000_s1026" o:spt="1" style="position:absolute;left:9701;top:402013;height:423;width:790;" filled="f" stroked="f" coordsize="21600,21600" o:gfxdata="UEsDBAoAAAAAAIdO4kAAAAAAAAAAAAAAAAAEAAAAZHJzL1BLAwQUAAAACACHTuJA3E+K1b0AAADa&#10;AAAADwAAAGRycy9kb3ducmV2LnhtbEWPQWvCQBSE74X+h+UVvJRmo0g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T4rV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adjustRightInd w:val="0"/>
                                    <w:snapToGrid w:val="0"/>
                                    <w:rPr>
                                      <w:szCs w:val="21"/>
                                    </w:rPr>
                                  </w:pPr>
                                  <w:r>
                                    <w:rPr>
                                      <w:rFonts w:hint="eastAsia"/>
                                      <w:szCs w:val="21"/>
                                    </w:rPr>
                                    <w:t>水</w:t>
                                  </w:r>
                                </w:p>
                              </w:txbxContent>
                            </v:textbox>
                          </v:rect>
                        </v:group>
                        <v:shape id="文本框 472" o:spid="_x0000_s1026" o:spt="202" type="#_x0000_t202" style="position:absolute;left:9941;top:437887;height:455;width:1512;" filled="f" stroked="t" coordsize="21600,21600" o:gfxdata="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GMstu2AAAA2wAAAA8A&#10;AAAAAAAAAQAgAAAAIgAAAGRycy9kb3ducmV2LnhtbFBLAQIUABQAAAAIAIdO4kAzLwWeOwAAADkA&#10;AAAQAAAAAAAAAAEAIAAAAAUBAABkcnMvc2hhcGV4bWwueG1sUEsFBgAAAAAGAAYAWwEAAK8DAAAA&#10;AA==&#10;">
                          <v:fill on="f" focussize="0,0"/>
                          <v:stroke color="#000000" joinstyle="miter"/>
                          <v:imagedata o:title=""/>
                          <o:lock v:ext="edit" aspectratio="f"/>
                          <v:textbox inset="0.5mm,1.2mm,0.5mm,1.5mm">
                            <w:txbxContent>
                              <w:p>
                                <w:pPr>
                                  <w:jc w:val="center"/>
                                </w:pPr>
                                <w:r>
                                  <w:rPr>
                                    <w:rFonts w:hint="eastAsia"/>
                                  </w:rPr>
                                  <w:t>搅拌</w:t>
                                </w:r>
                              </w:p>
                            </w:txbxContent>
                          </v:textbox>
                        </v:shape>
                        <v:shape id="自选图形 479" o:spid="_x0000_s1026" o:spt="38" type="#_x0000_t38" style="position:absolute;left:11466;top:436924;flip:y;height:395;width:444;" filled="f" stroked="t" coordsize="21600,21600" o:gfxdata="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Lq0E74A&#10;AADbAAAADwAAAAAAAAABACAAAAAiAAAAZHJzL2Rvd25yZXYueG1sUEsBAhQAFAAAAAgAh07iQDMv&#10;BZ47AAAAOQAAABAAAAAAAAAAAQAgAAAADQEAAGRycy9zaGFwZXhtbC54bWxQSwUGAAAAAAYABgBb&#10;AQAAtwMAAAAA&#10;" adj="10800">
                          <v:fill on="f" focussize="0,0"/>
                          <v:stroke color="#000000" joinstyle="round" dashstyle="dash" endarrow="block"/>
                          <v:imagedata o:title=""/>
                          <o:lock v:ext="edit" aspectratio="f"/>
                        </v:shape>
                        <v:shape id="文本框 480" o:spid="_x0000_s1026" o:spt="202" type="#_x0000_t202" style="position:absolute;left:11703;top:436739;height:455;width:1555;" filled="f" stroked="f" coordsize="21600,21600" o:gfxdata="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AL4B74A&#10;AADbAAAADwAAAAAAAAABACAAAAAiAAAAZHJzL2Rvd25yZXYueG1sUEsBAhQAFAAAAAgAh07iQDMv&#10;BZ47AAAAOQAAABAAAAAAAAAAAQAgAAAADQEAAGRycy9zaGFwZXhtbC54bWxQSwUGAAAAAAYABgBb&#10;AQAAtwMAAAAA&#10;">
                          <v:fill on="f" focussize="0,0"/>
                          <v:stroke on="f"/>
                          <v:imagedata o:title=""/>
                          <o:lock v:ext="edit" aspectratio="f"/>
                          <v:textbox inset="0.5mm,1.2mm,0.5mm,1.5mm">
                            <w:txbxContent>
                              <w:p>
                                <w:pPr>
                                  <w:jc w:val="center"/>
                                  <w:rPr>
                                    <w:rFonts w:hint="eastAsia" w:ascii="Calibri" w:hAnsi="Calibri"/>
                                  </w:rPr>
                                </w:pPr>
                                <w:r>
                                  <w:rPr>
                                    <w:rFonts w:hint="eastAsia" w:ascii="Calibri" w:hAnsi="Calibri"/>
                                    <w:lang w:eastAsia="zh-CN"/>
                                  </w:rPr>
                                  <w:t>颗粒物</w:t>
                                </w:r>
                                <w:r>
                                  <w:rPr>
                                    <w:rFonts w:hint="eastAsia" w:ascii="Calibri" w:hAnsi="Calibri"/>
                                  </w:rPr>
                                  <w:t>、固废</w:t>
                                </w:r>
                              </w:p>
                            </w:txbxContent>
                          </v:textbox>
                        </v:shape>
                        <v:shape id="自选图形 493" o:spid="_x0000_s1026" o:spt="32" type="#_x0000_t32" style="position:absolute;left:10701;top:437500;height:396;width:2;" filled="f" stroked="t" coordsize="21600,21600" o:gfxdata="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4WA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文本框 494" o:spid="_x0000_s1026" o:spt="202" type="#_x0000_t202" style="position:absolute;left:9939;top:437044;height:455;width:1512;" filled="f" stroked="t" coordsize="21600,21600" o:gfxdata="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utwzLgAAADbAAAA&#10;DwAAAAAAAAABACAAAAAiAAAAZHJzL2Rvd25yZXYueG1sUEsBAhQAFAAAAAgAh07iQDMvBZ47AAAA&#10;OQAAABAAAAAAAAAAAQAgAAAABwEAAGRycy9zaGFwZXhtbC54bWxQSwUGAAAAAAYABgBbAQAAsQMA&#10;AAAA&#10;">
                          <v:fill on="f" focussize="0,0"/>
                          <v:stroke color="#000000" joinstyle="miter"/>
                          <v:imagedata o:title=""/>
                          <o:lock v:ext="edit" aspectratio="f"/>
                          <v:textbox inset="0.5mm,1.2mm,0.5mm,1.5mm">
                            <w:txbxContent>
                              <w:p>
                                <w:pPr>
                                  <w:jc w:val="center"/>
                                </w:pPr>
                                <w:r>
                                  <w:rPr>
                                    <w:rFonts w:hint="eastAsia"/>
                                  </w:rPr>
                                  <w:t>配比</w:t>
                                </w:r>
                              </w:p>
                            </w:txbxContent>
                          </v:textbox>
                        </v:shape>
                        <v:shape id="自选图形 495" o:spid="_x0000_s1026" o:spt="32" type="#_x0000_t32" style="position:absolute;left:10694;top:436456;height:611;width:2;" filled="f" stroked="t" coordsize="21600,21600" o:gfxdata="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9At7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文本框 496" o:spid="_x0000_s1026" o:spt="202" type="#_x0000_t202" style="position:absolute;left:9943;top:438745;height:455;width:1512;" filled="f" stroked="t" coordsize="21600,21600" o:gfxdata="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Q4QSW2AAAA2wAAAA8A&#10;AAAAAAAAAQAgAAAAIgAAAGRycy9kb3ducmV2LnhtbFBLAQIUABQAAAAIAIdO4kAzLwWeOwAAADkA&#10;AAAQAAAAAAAAAAEAIAAAAAUBAABkcnMvc2hhcGV4bWwueG1sUEsFBgAAAAAGAAYAWwEAAK8DAAAA&#10;AA==&#10;">
                          <v:fill on="f" focussize="0,0"/>
                          <v:stroke color="#000000" joinstyle="miter"/>
                          <v:imagedata o:title=""/>
                          <o:lock v:ext="edit" aspectratio="f"/>
                          <v:textbox inset="0.5mm,1.2mm,0.5mm,1.5mm">
                            <w:txbxContent>
                              <w:p>
                                <w:pPr>
                                  <w:jc w:val="center"/>
                                </w:pPr>
                                <w:r>
                                  <w:rPr>
                                    <w:rFonts w:hint="eastAsia"/>
                                  </w:rPr>
                                  <w:t>切块成型</w:t>
                                </w:r>
                              </w:p>
                            </w:txbxContent>
                          </v:textbox>
                        </v:shape>
                        <v:shape id="自选图形 497" o:spid="_x0000_s1026" o:spt="32" type="#_x0000_t32" style="position:absolute;left:10699;top:439201;height:396;width:2;" filled="f" stroked="t" coordsize="21600,21600" o:gfxdata="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QMcB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文本框 502" o:spid="_x0000_s1026" o:spt="202" type="#_x0000_t202" style="position:absolute;left:9978;top:439581;height:455;width:1512;" filled="f" stroked="t" coordsize="21600,21600" o:gfxdata="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1zOF25AAAA2wAA&#10;AA8AAAAAAAAAAQAgAAAAIgAAAGRycy9kb3ducmV2LnhtbFBLAQIUABQAAAAIAIdO4kAzLwWeOwAA&#10;ADkAAAAQAAAAAAAAAAEAIAAAAAgBAABkcnMvc2hhcGV4bWwueG1sUEsFBgAAAAAGAAYAWwEAALID&#10;AAAAAA==&#10;">
                          <v:fill on="f" focussize="0,0"/>
                          <v:stroke color="#000000" joinstyle="miter"/>
                          <v:imagedata o:title=""/>
                          <o:lock v:ext="edit" aspectratio="f"/>
                          <v:textbox inset="0.5mm,1.2mm,0.5mm,1.5mm">
                            <w:txbxContent>
                              <w:p>
                                <w:pPr>
                                  <w:jc w:val="center"/>
                                </w:pPr>
                                <w:r>
                                  <w:rPr>
                                    <w:rFonts w:hint="eastAsia"/>
                                  </w:rPr>
                                  <w:t>自然养护</w:t>
                                </w:r>
                              </w:p>
                              <w:p>
                                <w:pPr>
                                  <w:jc w:val="center"/>
                                </w:pPr>
                                <w:r>
                                  <w:rPr>
                                    <w:rFonts w:hint="eastAsia"/>
                                  </w:rPr>
                                  <w:t>外售</w:t>
                                </w:r>
                              </w:p>
                            </w:txbxContent>
                          </v:textbox>
                        </v:shape>
                        <v:shape id="自选图形 503" o:spid="_x0000_s1026" o:spt="38" type="#_x0000_t38" style="position:absolute;left:11455;top:438589;flip:y;height:395;width:444;" filled="f" stroked="t" coordsize="21600,21600" o:gfxdata="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jMnHvQAA&#10;ANsAAAAPAAAAAAAAAAEAIAAAACIAAABkcnMvZG93bnJldi54bWxQSwECFAAUAAAACACHTuJAMy8F&#10;njsAAAA5AAAAEAAAAAAAAAABACAAAAAMAQAAZHJzL3NoYXBleG1sLnhtbFBLBQYAAAAABgAGAFsB&#10;AAC2AwAAAAA=&#10;" adj="10800">
                          <v:fill on="f" focussize="0,0"/>
                          <v:stroke color="#000000" joinstyle="round" dashstyle="dash" endarrow="block"/>
                          <v:imagedata o:title=""/>
                          <o:lock v:ext="edit" aspectratio="f"/>
                        </v:shape>
                        <v:shape id="文本框 504" o:spid="_x0000_s1026" o:spt="202" type="#_x0000_t202" style="position:absolute;left:11889;top:438361;height:455;width:1011;" filled="f" stroked="f" coordsize="21600,21600" o:gfxdata="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qvj+8AAAA&#10;2wAAAA8AAAAAAAAAAQAgAAAAIgAAAGRycy9kb3ducmV2LnhtbFBLAQIUABQAAAAIAIdO4kAzLwWe&#10;OwAAADkAAAAQAAAAAAAAAAEAIAAAAAsBAABkcnMvc2hhcGV4bWwueG1sUEsFBgAAAAAGAAYAWwEA&#10;ALUDAAAAAA==&#10;">
                          <v:fill on="f" focussize="0,0"/>
                          <v:stroke on="f"/>
                          <v:imagedata o:title=""/>
                          <o:lock v:ext="edit" aspectratio="f"/>
                          <v:textbox inset="0.5mm,1.2mm,0.5mm,1.5mm">
                            <w:txbxContent>
                              <w:p>
                                <w:pPr>
                                  <w:jc w:val="center"/>
                                  <w:rPr>
                                    <w:rFonts w:ascii="Calibri" w:hAnsi="Calibri"/>
                                  </w:rPr>
                                </w:pPr>
                                <w:r>
                                  <w:rPr>
                                    <w:rFonts w:hint="eastAsia" w:ascii="Calibri" w:hAnsi="Calibri"/>
                                  </w:rPr>
                                  <w:t>噪声、固废</w:t>
                                </w:r>
                              </w:p>
                            </w:txbxContent>
                          </v:textbox>
                        </v:shape>
                        <v:shape id="自选图形 505" o:spid="_x0000_s1026" o:spt="32" type="#_x0000_t32" style="position:absolute;left:10703;top:438343;height:396;width:2;" filled="f" stroked="t" coordsize="21600,21600" o:gfxdata="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9Zek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506" o:spid="_x0000_s1026" o:spt="38" type="#_x0000_t38" style="position:absolute;left:11468;top:437719;flip:y;height:395;width:444;" filled="f" stroked="t" coordsize="21600,21600" o:gfxdata="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1mWbsAAADb&#10;AAAADwAAAAAAAAABACAAAAAiAAAAZHJzL2Rvd25yZXYueG1sUEsBAhQAFAAAAAgAh07iQDMvBZ47&#10;AAAAOQAAABAAAAAAAAAAAQAgAAAACgEAAGRycy9zaGFwZXhtbC54bWxQSwUGAAAAAAYABgBbAQAA&#10;tAMAAAAA&#10;" adj="10800">
                          <v:fill on="f" focussize="0,0"/>
                          <v:stroke color="#000000" joinstyle="round" dashstyle="dash" endarrow="block"/>
                          <v:imagedata o:title=""/>
                          <o:lock v:ext="edit" aspectratio="f"/>
                        </v:shape>
                        <v:shape id="文本框 507" o:spid="_x0000_s1026" o:spt="202" type="#_x0000_t202" style="position:absolute;left:11915;top:437551;height:455;width:1235;" filled="f" stroked="f" coordsize="21600,21600" o:gfxdata="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DUqTb4A&#10;AADbAAAADwAAAAAAAAABACAAAAAiAAAAZHJzL2Rvd25yZXYueG1sUEsBAhQAFAAAAAgAh07iQDMv&#10;BZ47AAAAOQAAABAAAAAAAAAAAQAgAAAADQEAAGRycy9zaGFwZXhtbC54bWxQSwUGAAAAAAYABgBb&#10;AQAAtwMAAAAA&#10;">
                          <v:fill on="f" focussize="0,0"/>
                          <v:stroke on="f"/>
                          <v:imagedata o:title=""/>
                          <o:lock v:ext="edit" aspectratio="f"/>
                          <v:textbox inset="0.5mm,1.2mm,0.5mm,1.5mm">
                            <w:txbxContent>
                              <w:p>
                                <w:pPr>
                                  <w:jc w:val="center"/>
                                  <w:rPr>
                                    <w:rFonts w:ascii="Calibri" w:hAnsi="Calibri"/>
                                  </w:rPr>
                                </w:pPr>
                                <w:r>
                                  <w:rPr>
                                    <w:rFonts w:hint="eastAsia" w:ascii="Calibri" w:hAnsi="Calibri"/>
                                    <w:lang w:eastAsia="zh-CN"/>
                                  </w:rPr>
                                  <w:t>颗粒物</w:t>
                                </w:r>
                                <w:r>
                                  <w:rPr>
                                    <w:rFonts w:hint="eastAsia" w:ascii="Calibri" w:hAnsi="Calibri"/>
                                  </w:rPr>
                                  <w:t>、噪声</w:t>
                                </w:r>
                              </w:p>
                            </w:txbxContent>
                          </v:textbox>
                        </v:shape>
                        <v:shape id="自选图形 510" o:spid="_x0000_s1026" o:spt="32" type="#_x0000_t32" style="position:absolute;left:10703;top:440032;height:379;width:0;" filled="f" stroked="t" coordsize="21600,21600" o:gfxdata="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hr1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矩形 196" o:spid="_x0000_s1026" o:spt="1" style="position:absolute;left:10188;top:440361;height:549;width:960;" filled="f" stroked="f" coordsize="21600,21600" o:gfxdata="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oeDp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adjustRightInd w:val="0"/>
                                  <w:snapToGrid w:val="0"/>
                                  <w:jc w:val="center"/>
                                  <w:rPr>
                                    <w:rFonts w:hint="eastAsia"/>
                                    <w:szCs w:val="21"/>
                                  </w:rPr>
                                </w:pPr>
                                <w:r>
                                  <w:rPr>
                                    <w:rFonts w:hint="eastAsia"/>
                                    <w:szCs w:val="21"/>
                                  </w:rPr>
                                  <w:t>成品</w:t>
                                </w:r>
                              </w:p>
                            </w:txbxContent>
                          </v:textbox>
                        </v:rect>
                        <v:line id="直线 191" o:spid="_x0000_s1026" o:spt="20" style="position:absolute;left:9468;top:439040;height:5;width:496;" filled="f" stroked="t" coordsize="21600,21600" o:gfxdata="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nqZ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227" o:spid="_x0000_s1026" o:spt="1" style="position:absolute;left:8053;top:438856;height:423;width:1456;" filled="f" stroked="f" coordsize="21600,21600" o:gfxdata="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a+9K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adjustRightInd w:val="0"/>
                                  <w:snapToGrid w:val="0"/>
                                  <w:rPr>
                                    <w:rFonts w:hint="eastAsia"/>
                                    <w:szCs w:val="21"/>
                                  </w:rPr>
                                </w:pPr>
                                <w:r>
                                  <w:rPr>
                                    <w:rFonts w:hint="eastAsia"/>
                                    <w:szCs w:val="21"/>
                                  </w:rPr>
                                  <w:t>透水剂、颜料</w:t>
                                </w:r>
                              </w:p>
                            </w:txbxContent>
                          </v:textbox>
                        </v:rect>
                      </v:group>
                      <v:group id="_x0000_s1026" o:spid="_x0000_s1026" o:spt="203" style="position:absolute;left:7211;top:433445;height:2442;width:8638;" coordorigin="7497,415529" coordsize="8638,2442" o:gfxdata="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CMbUe+AAAA3AAAAA8AAAAAAAAAAQAgAAAAIgAAAGRycy9kb3ducmV2Lnht&#10;bFBLAQIUABQAAAAIAIdO4kAzLwWeOwAAADkAAAAVAAAAAAAAAAEAIAAAAA0BAABkcnMvZ3JvdXBz&#10;aGFwZXhtbC54bWxQSwUGAAAAAAYABgBgAQAAygMAAAAA&#10;">
                        <o:lock v:ext="edit" aspectratio="f"/>
                        <v:shape id="文本框 462" o:spid="_x0000_s1026" o:spt="202" type="#_x0000_t202" style="position:absolute;left:7497;top:415812;height:455;width:1068;" filled="f" stroked="t" coordsize="21600,21600" o:gfxdata="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VJ4SLgAAADaAAAA&#10;DwAAAAAAAAABACAAAAAiAAAAZHJzL2Rvd25yZXYueG1sUEsBAhQAFAAAAAgAh07iQDMvBZ47AAAA&#10;OQAAABAAAAAAAAAAAQAgAAAABwEAAGRycy9zaGFwZXhtbC54bWxQSwUGAAAAAAYABgBbAQAAsQMA&#10;AAAA&#10;">
                          <v:fill on="f" focussize="0,0"/>
                          <v:stroke color="#000000" joinstyle="miter"/>
                          <v:imagedata o:title=""/>
                          <o:lock v:ext="edit" aspectratio="f"/>
                          <v:textbox inset="0.5mm,1.2mm,0.5mm,1.5mm">
                            <w:txbxContent>
                              <w:p>
                                <w:pPr>
                                  <w:jc w:val="center"/>
                                </w:pPr>
                                <w:r>
                                  <w:rPr>
                                    <w:rFonts w:hint="eastAsia"/>
                                  </w:rPr>
                                  <w:t>水泥</w:t>
                                </w:r>
                              </w:p>
                            </w:txbxContent>
                          </v:textbox>
                        </v:shape>
                        <v:shape id="文本框 463" o:spid="_x0000_s1026" o:spt="202" type="#_x0000_t202" style="position:absolute;left:7497;top:416892;height:455;width:1068;" filled="f" stroked="t" coordsize="21600,21600" o:gfxdata="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xgOY/twAAANoAAAAP&#10;AAAAAAAAAAEAIAAAACIAAABkcnMvZG93bnJldi54bWxQSwECFAAUAAAACACHTuJAMy8FnjsAAAA5&#10;AAAAEAAAAAAAAAABACAAAAAGAQAAZHJzL3NoYXBleG1sLnhtbFBLBQYAAAAABgAGAFsBAACwAwAA&#10;AAA=&#10;">
                          <v:fill on="f" focussize="0,0"/>
                          <v:stroke color="#000000" joinstyle="miter"/>
                          <v:imagedata o:title=""/>
                          <o:lock v:ext="edit" aspectratio="f"/>
                          <v:textbox inset="0.5mm,1.2mm,0.5mm,1.5mm">
                            <w:txbxContent>
                              <w:p>
                                <w:pPr>
                                  <w:jc w:val="center"/>
                                </w:pPr>
                                <w:r>
                                  <w:rPr>
                                    <w:rFonts w:hint="eastAsia"/>
                                  </w:rPr>
                                  <w:t>水泥罐</w:t>
                                </w:r>
                              </w:p>
                            </w:txbxContent>
                          </v:textbox>
                        </v:shape>
                        <v:shape id="文本框 464" o:spid="_x0000_s1026" o:spt="202" type="#_x0000_t202" style="position:absolute;left:9429;top:415773;height:455;width:1068;" filled="f" stroked="t" coordsize="21600,21600" o:gfxdata="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ezEOktwAAANoAAAAP&#10;AAAAAAAAAAEAIAAAACIAAABkcnMvZG93bnJldi54bWxQSwECFAAUAAAACACHTuJAMy8FnjsAAAA5&#10;AAAAEAAAAAAAAAABACAAAAAGAQAAZHJzL3NoYXBleG1sLnhtbFBLBQYAAAAABgAGAFsBAACwAwAA&#10;AAA=&#10;">
                          <v:fill on="f" focussize="0,0"/>
                          <v:stroke color="#000000" joinstyle="miter"/>
                          <v:imagedata o:title=""/>
                          <o:lock v:ext="edit" aspectratio="f"/>
                          <v:textbox inset="0.5mm,1.2mm,0.5mm,1.5mm">
                            <w:txbxContent>
                              <w:p>
                                <w:pPr>
                                  <w:jc w:val="center"/>
                                  <w:rPr>
                                    <w:rFonts w:hint="eastAsia"/>
                                  </w:rPr>
                                </w:pPr>
                                <w:r>
                                  <w:rPr>
                                    <w:rFonts w:hint="eastAsia"/>
                                  </w:rPr>
                                  <w:t>沙子</w:t>
                                </w:r>
                              </w:p>
                            </w:txbxContent>
                          </v:textbox>
                        </v:shape>
                        <v:shape id="文本框 465" o:spid="_x0000_s1026" o:spt="202" type="#_x0000_t202" style="position:absolute;left:9429;top:416901;height:455;width:1068;" filled="f" stroked="t" coordsize="21600,21600" o:gfxdata="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r1PX1rUAAADaAAAADwAA&#10;AAAAAAABACAAAAAiAAAAZHJzL2Rvd25yZXYueG1sUEsBAhQAFAAAAAgAh07iQDMvBZ47AAAAOQAA&#10;ABAAAAAAAAAAAQAgAAAABAEAAGRycy9zaGFwZXhtbC54bWxQSwUGAAAAAAYABgBbAQAArgMAAAAA&#10;">
                          <v:fill on="f" focussize="0,0"/>
                          <v:stroke color="#000000" joinstyle="miter"/>
                          <v:imagedata o:title=""/>
                          <o:lock v:ext="edit" aspectratio="f"/>
                          <v:textbox inset="0.5mm,1.2mm,0.5mm,1.5mm">
                            <w:txbxContent>
                              <w:p>
                                <w:pPr>
                                  <w:jc w:val="center"/>
                                </w:pPr>
                                <w:r>
                                  <w:rPr>
                                    <w:rFonts w:hint="eastAsia"/>
                                  </w:rPr>
                                  <w:t>原料仓库</w:t>
                                </w:r>
                              </w:p>
                            </w:txbxContent>
                          </v:textbox>
                        </v:shape>
                        <v:shape id="自选图形 471" o:spid="_x0000_s1026" o:spt="32" type="#_x0000_t32" style="position:absolute;left:8001;top:417360;height:611;width:2;"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73" o:spid="_x0000_s1026" o:spt="38" type="#_x0000_t38" style="position:absolute;left:8565;top:416724;flip:y;height:395;width:444;" filled="f" stroked="t" coordsize="21600,21600" o:gfxdata="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e14rbsAAADb&#10;AAAADwAAAAAAAAABACAAAAAiAAAAZHJzL2Rvd25yZXYueG1sUEsBAhQAFAAAAAgAh07iQDMvBZ47&#10;AAAAOQAAABAAAAAAAAAAAQAgAAAACgEAAGRycy9zaGFwZXhtbC54bWxQSwUGAAAAAAYABgBbAQAA&#10;tAMAAAAA&#10;" adj="10800">
                          <v:fill on="f" focussize="0,0"/>
                          <v:stroke color="#000000" joinstyle="round" dashstyle="dash" endarrow="block"/>
                          <v:imagedata o:title=""/>
                          <o:lock v:ext="edit" aspectratio="f"/>
                        </v:shape>
                        <v:shape id="文本框 474" o:spid="_x0000_s1026" o:spt="202" type="#_x0000_t202" style="position:absolute;left:8553;top:416301;height:455;width:801;" filled="f" stroked="f" coordsize="21600,21600" o:gfxdata="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VU0ubsAAADb&#10;AAAADwAAAAAAAAABACAAAAAiAAAAZHJzL2Rvd25yZXYueG1sUEsBAhQAFAAAAAgAh07iQDMvBZ47&#10;AAAAOQAAABAAAAAAAAAAAQAgAAAACgEAAGRycy9zaGFwZXhtbC54bWxQSwUGAAAAAAYABgBbAQAA&#10;tAM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v:shape id="自选图形 475" o:spid="_x0000_s1026" o:spt="38" type="#_x0000_t38" style="position:absolute;left:10497;top:416697;flip:y;height:395;width:444;" filled="f" stroked="t" coordsize="21600,21600" o:gfxdata="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z5JRL4A&#10;AADbAAAADwAAAAAAAAABACAAAAAiAAAAZHJzL2Rvd25yZXYueG1sUEsBAhQAFAAAAAgAh07iQDMv&#10;BZ47AAAAOQAAABAAAAAAAAAAAQAgAAAADQEAAGRycy9zaGFwZXhtbC54bWxQSwUGAAAAAAYABgBb&#10;AQAAtwMAAAAA&#10;" adj="10800">
                          <v:fill on="f" focussize="0,0"/>
                          <v:stroke color="#000000" joinstyle="round" dashstyle="dash" endarrow="block"/>
                          <v:imagedata o:title=""/>
                          <o:lock v:ext="edit" aspectratio="f"/>
                        </v:shape>
                        <v:shape id="文本框 484" o:spid="_x0000_s1026" o:spt="202" type="#_x0000_t202" style="position:absolute;left:7785;top:417432;height:455;width:1068;" filled="f" stroked="f" coordsize="21600,21600" o:gfxdata="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dVufvQAA&#10;ANsAAAAPAAAAAAAAAAEAIAAAACIAAABkcnMvZG93bnJldi54bWxQSwECFAAUAAAACACHTuJAMy8F&#10;njsAAAA5AAAAEAAAAAAAAAABACAAAAAMAQAAZHJzL3NoYXBleG1sLnhtbFBLBQYAAAAABgAGAFsB&#10;AAC2AwAAAAA=&#10;">
                          <v:fill on="f" focussize="0,0"/>
                          <v:stroke on="f"/>
                          <v:imagedata o:title=""/>
                          <o:lock v:ext="edit" aspectratio="f"/>
                          <v:textbox inset="0.5mm,1.2mm,0.5mm,1.5mm">
                            <w:txbxContent>
                              <w:p>
                                <w:pPr>
                                  <w:jc w:val="center"/>
                                </w:pPr>
                                <w:r>
                                  <w:rPr>
                                    <w:rFonts w:hint="eastAsia"/>
                                  </w:rPr>
                                  <w:t>计量</w:t>
                                </w:r>
                              </w:p>
                            </w:txbxContent>
                          </v:textbox>
                        </v:shape>
                        <v:shape id="文本框 485" o:spid="_x0000_s1026" o:spt="202" type="#_x0000_t202" style="position:absolute;left:9728;top:417453;height:455;width:1068;" filled="f" stroked="f" coordsize="21600,21600" o:gfxdata="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zn+BL4A&#10;AADbAAAADwAAAAAAAAABACAAAAAiAAAAZHJzL2Rvd25yZXYueG1sUEsBAhQAFAAAAAgAh07iQDMv&#10;BZ47AAAAOQAAABAAAAAAAAAAAQAgAAAADQEAAGRycy9zaGFwZXhtbC54bWxQSwUGAAAAAAYABgBb&#10;AQAAtwMAAAAA&#10;">
                          <v:fill on="f" focussize="0,0"/>
                          <v:stroke on="f"/>
                          <v:imagedata o:title=""/>
                          <o:lock v:ext="edit" aspectratio="f"/>
                          <v:textbox inset="0.5mm,1.2mm,0.5mm,1.5mm">
                            <w:txbxContent>
                              <w:p>
                                <w:pPr>
                                  <w:jc w:val="center"/>
                                </w:pPr>
                                <w:r>
                                  <w:rPr>
                                    <w:rFonts w:hint="eastAsia"/>
                                  </w:rPr>
                                  <w:t>计量</w:t>
                                </w:r>
                              </w:p>
                            </w:txbxContent>
                          </v:textbox>
                        </v:shape>
                        <v:shape id="自选图形 487" o:spid="_x0000_s1026" o:spt="32" type="#_x0000_t32" style="position:absolute;left:8003;top:416268;height:611;width:2;" filled="f" stroked="t" coordsize="21600,21600" o:gfxdata="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NqK2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488" o:spid="_x0000_s1026" o:spt="32" type="#_x0000_t32" style="position:absolute;left:9946;top:416253;height:611;width:2;" filled="f" stroked="t" coordsize="21600,21600" o:gfxdata="UEsDBAoAAAAAAIdO4kAAAAAAAAAAAAAAAAAEAAAAZHJzL1BLAwQUAAAACACHTuJAVDm1mrsAAADb&#10;AAAADwAAAGRycy9kb3ducmV2LnhtbEVPW2vCMBR+H+w/hDPY20zroG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Dm1m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group id="组合 229" o:spid="_x0000_s1026" o:spt="203" style="position:absolute;left:14182;top:415529;height:2410;width:1953;" coordorigin="8571,415545" coordsize="1953,2410" o:gfxdata="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ZfUzvwAAANwAAAAPAAAAAAAAAAEAIAAAACIAAABkcnMvZG93bnJldi54&#10;bWxQSwECFAAUAAAACACHTuJAMy8FnjsAAAA5AAAAFQAAAAAAAAABACAAAAAOAQAAZHJzL2dyb3Vw&#10;c2hhcGV4bWwueG1sUEsFBgAAAAAGAAYAYAEAAMsDAAAAAA==&#10;">
                          <o:lock v:ext="edit" aspectratio="f"/>
                          <v:shape id="文本框 468" o:spid="_x0000_s1026" o:spt="202" type="#_x0000_t202" style="position:absolute;left:8571;top:415761;height:455;width:1068;" filled="f" stroked="t" coordsize="21600,21600" o:gfxdata="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63tNi2AAAA2wAAAA8A&#10;AAAAAAAAAQAgAAAAIgAAAGRycy9kb3ducmV2LnhtbFBLAQIUABQAAAAIAIdO4kAzLwWeOwAAADkA&#10;AAAQAAAAAAAAAAEAIAAAAAUBAABkcnMvc2hhcGV4bWwueG1sUEsFBgAAAAAGAAYAWwEAAK8DAAAA&#10;AA==&#10;">
                            <v:fill on="f" focussize="0,0"/>
                            <v:stroke color="#000000" joinstyle="miter"/>
                            <v:imagedata o:title=""/>
                            <o:lock v:ext="edit" aspectratio="f"/>
                            <v:textbox inset="0.5mm,1.2mm,0.5mm,1.5mm">
                              <w:txbxContent>
                                <w:p>
                                  <w:pPr>
                                    <w:jc w:val="center"/>
                                  </w:pPr>
                                  <w:r>
                                    <w:rPr>
                                      <w:rFonts w:hint="eastAsia"/>
                                    </w:rPr>
                                    <w:t>水泵</w:t>
                                  </w:r>
                                </w:p>
                              </w:txbxContent>
                            </v:textbox>
                          </v:shape>
                          <v:shape id="自选图形 469" o:spid="_x0000_s1026" o:spt="32" type="#_x0000_t32" style="position:absolute;left:9087;top:416217;height:1739;width:1;" filled="f" stroked="t" coordsize="21600,21600" o:gfxdata="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LSF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文本框 470" o:spid="_x0000_s1026" o:spt="202" type="#_x0000_t202" style="position:absolute;left:8880;top:416997;height:491;width:1068;" filled="f" stroked="f" coordsize="21600,21600" o:gfxdata="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m4yursAAADb&#10;AAAADwAAAAAAAAABACAAAAAiAAAAZHJzL2Rvd25yZXYueG1sUEsBAhQAFAAAAAgAh07iQDMvBZ47&#10;AAAAOQAAABAAAAAAAAAAAQAgAAAACgEAAGRycy9zaGFwZXhtbC54bWxQSwUGAAAAAAYABgBbAQAA&#10;tAMAAAAA&#10;">
                            <v:fill on="f" focussize="0,0"/>
                            <v:stroke on="f"/>
                            <v:imagedata o:title=""/>
                            <o:lock v:ext="edit" aspectratio="f"/>
                            <v:textbox inset="0.5mm,1.2mm,0.5mm,1.5mm">
                              <w:txbxContent>
                                <w:p>
                                  <w:pPr>
                                    <w:jc w:val="center"/>
                                  </w:pPr>
                                  <w:r>
                                    <w:rPr>
                                      <w:rFonts w:hint="eastAsia"/>
                                    </w:rPr>
                                    <w:t>计量</w:t>
                                  </w:r>
                                </w:p>
                              </w:txbxContent>
                            </v:textbox>
                          </v:shape>
                          <v:shape id="自选图形 482" o:spid="_x0000_s1026" o:spt="38" type="#_x0000_t38" style="position:absolute;left:9639;top:415605;flip:y;height:395;width:444;" filled="f" stroked="t" coordsize="21600,21600" o:gfxdata="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4n8vQAA&#10;ANsAAAAPAAAAAAAAAAEAIAAAACIAAABkcnMvZG93bnJldi54bWxQSwECFAAUAAAACACHTuJAMy8F&#10;njsAAAA5AAAAEAAAAAAAAAABACAAAAAMAQAAZHJzL3NoYXBleG1sLnhtbFBLBQYAAAAABgAGAFsB&#10;AAC2AwAAAAA=&#10;" adj="10800">
                            <v:fill on="f" focussize="0,0"/>
                            <v:stroke color="#000000" joinstyle="round" dashstyle="dash" endarrow="block"/>
                            <v:imagedata o:title=""/>
                            <o:lock v:ext="edit" aspectratio="f"/>
                          </v:shape>
                          <v:shape id="文本框 483" o:spid="_x0000_s1026" o:spt="202" type="#_x0000_t202" style="position:absolute;left:9948;top:415545;height:455;width:576;" filled="f" stroked="f" coordsize="21600,21600" o:gfxdata="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nxei8AAAA&#10;2wAAAA8AAAAAAAAAAQAgAAAAIgAAAGRycy9kb3ducmV2LnhtbFBLAQIUABQAAAAIAIdO4kAzLwWe&#10;OwAAADkAAAAQAAAAAAAAAAEAIAAAAAsBAABkcnMvc2hhcGV4bWwueG1sUEsFBgAAAAAGAAYAWwEA&#10;ALUDAAAAAA==&#10;">
                            <v:fill on="f" focussize="0,0"/>
                            <v:stroke on="f"/>
                            <v:imagedata o:title=""/>
                            <o:lock v:ext="edit" aspectratio="f"/>
                            <v:textbox inset="0.5mm,1.2mm,0.5mm,1.5mm">
                              <w:txbxContent>
                                <w:p>
                                  <w:pPr>
                                    <w:jc w:val="center"/>
                                    <w:rPr>
                                      <w:rFonts w:hint="eastAsia" w:ascii="Calibri" w:hAnsi="Calibri"/>
                                    </w:rPr>
                                  </w:pPr>
                                  <w:r>
                                    <w:rPr>
                                      <w:rFonts w:hint="eastAsia" w:ascii="Calibri" w:hAnsi="Calibri"/>
                                    </w:rPr>
                                    <w:t>噪声</w:t>
                                  </w:r>
                                </w:p>
                              </w:txbxContent>
                            </v:textbox>
                          </v:shape>
                        </v:group>
                        <v:shape id="自选图形 490" o:spid="_x0000_s1026" o:spt="32" type="#_x0000_t32" style="position:absolute;left:9948;top:417357;height:611;width:2;" filled="f" stroked="t" coordsize="21600,21600" o:gfxdata="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6eOd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492" o:spid="_x0000_s1026" o:spt="32" type="#_x0000_t32" style="position:absolute;left:7981;top:417919;flip:y;height:1;width:6735;" filled="f" stroked="t" coordsize="21600,21600" o:gfxdata="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kKo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group id="组合 230" o:spid="_x0000_s1026" o:spt="203" style="position:absolute;left:11085;top:415797;height:2159;width:1512;" coordorigin="6976,415797" coordsize="1512,2159" o:gfxdata="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wKVCovwAAANwAAAAPAAAAAAAAAAEAIAAAACIAAABkcnMvZG93bnJldi54&#10;bWxQSwECFAAUAAAACACHTuJAMy8FnjsAAAA5AAAAFQAAAAAAAAABACAAAAAOAQAAZHJzL2dyb3Vw&#10;c2hhcGV4bWwueG1sUEsFBgAAAAAGAAYAYAEAAMsDAAAAAA==&#10;">
                          <o:lock v:ext="edit" aspectratio="f"/>
                          <v:shape id="文本框 466" o:spid="_x0000_s1026" o:spt="202" type="#_x0000_t202" style="position:absolute;left:6976;top:415797;height:455;width:1068;" filled="f" stroked="t" coordsize="21600,21600" o:gfxdata="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B9yTbgAAADaAAAA&#10;DwAAAAAAAAABACAAAAAiAAAAZHJzL2Rvd25yZXYueG1sUEsBAhQAFAAAAAgAh07iQDMvBZ47AAAA&#10;OQAAABAAAAAAAAAAAQAgAAAABwEAAGRycy9zaGFwZXhtbC54bWxQSwUGAAAAAAYABgBbAQAAsQMA&#10;AAAA&#10;">
                            <v:fill on="f" focussize="0,0"/>
                            <v:stroke color="#000000" joinstyle="miter"/>
                            <v:imagedata o:title=""/>
                            <o:lock v:ext="edit" aspectratio="f"/>
                            <v:textbox inset="0.5mm,1.2mm,0.5mm,1.5mm">
                              <w:txbxContent>
                                <w:p>
                                  <w:pPr>
                                    <w:jc w:val="center"/>
                                    <w:rPr>
                                      <w:rFonts w:hint="eastAsia"/>
                                    </w:rPr>
                                  </w:pPr>
                                  <w:r>
                                    <w:rPr>
                                      <w:rFonts w:hint="eastAsia"/>
                                    </w:rPr>
                                    <w:t>石沫</w:t>
                                  </w:r>
                                </w:p>
                              </w:txbxContent>
                            </v:textbox>
                          </v:shape>
                          <v:shape id="文本框 467" o:spid="_x0000_s1026" o:spt="202" type="#_x0000_t202" style="position:absolute;left:6976;top:416877;height:455;width:1068;" filled="f" stroked="t" coordsize="21600,21600" o:gfxdata="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fsRQ7sAAADb&#10;AAAADwAAAAAAAAABACAAAAAiAAAAZHJzL2Rvd25yZXYueG1sUEsBAhQAFAAAAAgAh07iQDMvBZ47&#10;AAAAOQAAABAAAAAAAAAAAQAgAAAACgEAAGRycy9zaGFwZXhtbC54bWxQSwUGAAAAAAYABgBbAQAA&#10;tAMAAAAA&#10;">
                            <v:fill on="f" focussize="0,0"/>
                            <v:stroke color="#000000" joinstyle="miter"/>
                            <v:imagedata o:title=""/>
                            <o:lock v:ext="edit" aspectratio="f"/>
                            <v:textbox inset="0.5mm,1.2mm,0.5mm,1.5mm">
                              <w:txbxContent>
                                <w:p>
                                  <w:pPr>
                                    <w:jc w:val="center"/>
                                  </w:pPr>
                                  <w:r>
                                    <w:rPr>
                                      <w:rFonts w:hint="eastAsia"/>
                                    </w:rPr>
                                    <w:t>原料仓库</w:t>
                                  </w:r>
                                </w:p>
                              </w:txbxContent>
                            </v:textbox>
                          </v:shape>
                          <v:shape id="自选图形 477" o:spid="_x0000_s1026" o:spt="38" type="#_x0000_t38" style="position:absolute;left:8044;top:416673;flip:y;height:395;width:444;" filled="f" stroked="t" coordsize="21600,21600" o:gfxdata="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ySP/7sAAADb&#10;AAAADwAAAAAAAAABACAAAAAiAAAAZHJzL2Rvd25yZXYueG1sUEsBAhQAFAAAAAgAh07iQDMvBZ47&#10;AAAAOQAAABAAAAAAAAAAAQAgAAAACgEAAGRycy9zaGFwZXhtbC54bWxQSwUGAAAAAAYABgBbAQAA&#10;tAMAAAAA&#10;" adj="10800">
                            <v:fill on="f" focussize="0,0"/>
                            <v:stroke color="#000000" joinstyle="round" dashstyle="dash" endarrow="block"/>
                            <v:imagedata o:title=""/>
                            <o:lock v:ext="edit" aspectratio="f"/>
                          </v:shape>
                          <v:shape id="文本框 486" o:spid="_x0000_s1026" o:spt="202" type="#_x0000_t202" style="position:absolute;left:7252;top:417417;height:455;width:1068;" filled="f" stroked="f" coordsize="21600,21600" o:gfxdata="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qZqdrsAAADb&#10;AAAADwAAAAAAAAABACAAAAAiAAAAZHJzL2Rvd25yZXYueG1sUEsBAhQAFAAAAAgAh07iQDMvBZ47&#10;AAAAOQAAABAAAAAAAAAAAQAgAAAACgEAAGRycy9zaGFwZXhtbC54bWxQSwUGAAAAAAYABgBbAQAA&#10;tAMAAAAA&#10;">
                            <v:fill on="f" focussize="0,0"/>
                            <v:stroke on="f"/>
                            <v:imagedata o:title=""/>
                            <o:lock v:ext="edit" aspectratio="f"/>
                            <v:textbox inset="0.5mm,1.2mm,0.5mm,1.5mm">
                              <w:txbxContent>
                                <w:p>
                                  <w:pPr>
                                    <w:jc w:val="center"/>
                                  </w:pPr>
                                  <w:r>
                                    <w:rPr>
                                      <w:rFonts w:hint="eastAsia"/>
                                    </w:rPr>
                                    <w:t>计量</w:t>
                                  </w:r>
                                </w:p>
                              </w:txbxContent>
                            </v:textbox>
                          </v:shape>
                          <v:shape id="自选图形 489" o:spid="_x0000_s1026" o:spt="32" type="#_x0000_t32" style="position:absolute;left:7491;top:416265;height:611;width:2;" filled="f" stroked="t" coordsize="21600,21600" o:gfxdata="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3UQA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491" o:spid="_x0000_s1026" o:spt="32" type="#_x0000_t32" style="position:absolute;left:7493;top:417345;height:611;width:2;" filled="f" stroked="t" coordsize="21600,21600" o:gfxdata="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7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v:group id="组合 231" o:spid="_x0000_s1026" o:spt="203" style="position:absolute;left:12552;top:415797;height:2159;width:1512;" coordorigin="6976,415797" coordsize="1512,2159" o:gfxdata="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A+87fvwAAANwAAAAPAAAAAAAAAAEAIAAAACIAAABkcnMvZG93bnJldi54&#10;bWxQSwECFAAUAAAACACHTuJAMy8FnjsAAAA5AAAAFQAAAAAAAAABACAAAAAOAQAAZHJzL2dyb3Vw&#10;c2hhcGV4bWwueG1sUEsFBgAAAAAGAAYAYAEAAMsDAAAAAA==&#10;">
                          <o:lock v:ext="edit" aspectratio="f"/>
                          <v:shape id="文本框 466" o:spid="_x0000_s1026" o:spt="202" type="#_x0000_t202" style="position:absolute;left:6976;top:415797;height:455;width:1068;" filled="f" stroked="t" coordsize="21600,21600" o:gfxdata="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gf6oi5AAAA3AAA&#10;AA8AAAAAAAAAAQAgAAAAIgAAAGRycy9kb3ducmV2LnhtbFBLAQIUABQAAAAIAIdO4kAzLwWeOwAA&#10;ADkAAAAQAAAAAAAAAAEAIAAAAAgBAABkcnMvc2hhcGV4bWwueG1sUEsFBgAAAAAGAAYAWwEAALID&#10;AAAAAA==&#10;">
                            <v:fill on="f" focussize="0,0"/>
                            <v:stroke color="#000000" joinstyle="miter"/>
                            <v:imagedata o:title=""/>
                            <o:lock v:ext="edit" aspectratio="f"/>
                            <v:textbox inset="0.5mm,1.2mm,0.5mm,1.5mm">
                              <w:txbxContent>
                                <w:p>
                                  <w:pPr>
                                    <w:jc w:val="center"/>
                                    <w:rPr>
                                      <w:rFonts w:hint="eastAsia" w:eastAsia="宋体"/>
                                      <w:lang w:eastAsia="zh-CN"/>
                                    </w:rPr>
                                  </w:pPr>
                                  <w:r>
                                    <w:rPr>
                                      <w:rFonts w:hint="eastAsia"/>
                                      <w:lang w:eastAsia="zh-CN"/>
                                    </w:rPr>
                                    <w:t>粉煤灰</w:t>
                                  </w:r>
                                </w:p>
                              </w:txbxContent>
                            </v:textbox>
                          </v:shape>
                          <v:shape id="文本框 467" o:spid="_x0000_s1026" o:spt="202" type="#_x0000_t202" style="position:absolute;left:6976;top:416877;height:455;width:1068;" filled="f" stroked="t" coordsize="21600,21600" o:gfxdata="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U08TvQAA&#10;ANwAAAAPAAAAAAAAAAEAIAAAACIAAABkcnMvZG93bnJldi54bWxQSwECFAAUAAAACACHTuJAMy8F&#10;njsAAAA5AAAAEAAAAAAAAAABACAAAAAMAQAAZHJzL3NoYXBleG1sLnhtbFBLBQYAAAAABgAGAFsB&#10;AAC2AwAAAAA=&#10;">
                            <v:fill on="f" focussize="0,0"/>
                            <v:stroke color="#000000" joinstyle="miter"/>
                            <v:imagedata o:title=""/>
                            <o:lock v:ext="edit" aspectratio="f"/>
                            <v:textbox inset="0.5mm,1.2mm,0.5mm,1.5mm">
                              <w:txbxContent>
                                <w:p>
                                  <w:pPr>
                                    <w:jc w:val="center"/>
                                    <w:rPr>
                                      <w:rFonts w:hint="eastAsia" w:eastAsia="宋体"/>
                                      <w:lang w:eastAsia="zh-CN"/>
                                    </w:rPr>
                                  </w:pPr>
                                  <w:r>
                                    <w:rPr>
                                      <w:rFonts w:hint="eastAsia"/>
                                      <w:lang w:eastAsia="zh-CN"/>
                                    </w:rPr>
                                    <w:t>粉煤灰罐</w:t>
                                  </w:r>
                                </w:p>
                              </w:txbxContent>
                            </v:textbox>
                          </v:shape>
                          <v:shape id="自选图形 477" o:spid="_x0000_s1026" o:spt="38" type="#_x0000_t38" style="position:absolute;left:8044;top:416673;flip:y;height:395;width:444;" filled="f" stroked="t" coordsize="21600,21600" o:gfxdata="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SfRH74A&#10;AADcAAAADwAAAAAAAAABACAAAAAiAAAAZHJzL2Rvd25yZXYueG1sUEsBAhQAFAAAAAgAh07iQDMv&#10;BZ47AAAAOQAAABAAAAAAAAAAAQAgAAAADQEAAGRycy9zaGFwZXhtbC54bWxQSwUGAAAAAAYABgBb&#10;AQAAtwMAAAAA&#10;" adj="10800">
                            <v:fill on="f" focussize="0,0"/>
                            <v:stroke color="#000000" joinstyle="round" dashstyle="dash" endarrow="block"/>
                            <v:imagedata o:title=""/>
                            <o:lock v:ext="edit" aspectratio="f"/>
                          </v:shape>
                          <v:shape id="文本框 486" o:spid="_x0000_s1026" o:spt="202" type="#_x0000_t202" style="position:absolute;left:7252;top:417417;height:455;width:1068;" filled="f" stroked="f" coordsize="21600,21600" o:gfxdata="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fPN8z&#10;wAAAANwAAAAPAAAAAAAAAAEAIAAAACIAAABkcnMvZG93bnJldi54bWxQSwECFAAUAAAACACHTuJA&#10;My8FnjsAAAA5AAAAEAAAAAAAAAABACAAAAAPAQAAZHJzL3NoYXBleG1sLnhtbFBLBQYAAAAABgAG&#10;AFsBAAC5AwAAAAA=&#10;">
                            <v:fill on="f" focussize="0,0"/>
                            <v:stroke on="f"/>
                            <v:imagedata o:title=""/>
                            <o:lock v:ext="edit" aspectratio="f"/>
                            <v:textbox inset="0.5mm,1.2mm,0.5mm,1.5mm">
                              <w:txbxContent>
                                <w:p>
                                  <w:pPr>
                                    <w:jc w:val="center"/>
                                  </w:pPr>
                                  <w:r>
                                    <w:rPr>
                                      <w:rFonts w:hint="eastAsia"/>
                                    </w:rPr>
                                    <w:t>计量</w:t>
                                  </w:r>
                                </w:p>
                              </w:txbxContent>
                            </v:textbox>
                          </v:shape>
                          <v:shape id="自选图形 489" o:spid="_x0000_s1026" o:spt="32" type="#_x0000_t32" style="position:absolute;left:7491;top:416265;height:611;width:2;" filled="f" stroked="t" coordsize="21600,21600" o:gfxdata="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Dc+rq/&#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自选图形 491" o:spid="_x0000_s1026" o:spt="32" type="#_x0000_t32" style="position:absolute;left:7493;top:417345;height:611;width:2;" filled="f" stroked="t" coordsize="21600,21600" o:gfxdata="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Dbsi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group>
                      </v:group>
                    </v:group>
                  </w:pict>
                </mc:Fallback>
              </mc:AlternateContent>
            </w:r>
          </w:p>
          <w:p>
            <w:pPr>
              <w:spacing w:line="520" w:lineRule="exact"/>
              <w:ind w:firstLine="480" w:firstLineChars="200"/>
              <w:jc w:val="center"/>
              <w:rPr>
                <w:rFonts w:eastAsia="黑体"/>
                <w:sz w:val="24"/>
              </w:rPr>
            </w:pPr>
          </w:p>
          <w:p>
            <w:pPr>
              <w:pStyle w:val="19"/>
              <w:rPr>
                <w:rFonts w:eastAsia="黑体"/>
                <w:sz w:val="24"/>
                <w:lang w:val="en-US" w:eastAsia="zh-CN"/>
              </w:rPr>
            </w:pPr>
            <w:r>
              <mc:AlternateContent>
                <mc:Choice Requires="wps">
                  <w:drawing>
                    <wp:anchor distT="0" distB="0" distL="114300" distR="114300" simplePos="0" relativeHeight="252460032" behindDoc="0" locked="0" layoutInCell="1" allowOverlap="1">
                      <wp:simplePos x="0" y="0"/>
                      <wp:positionH relativeFrom="column">
                        <wp:posOffset>1994535</wp:posOffset>
                      </wp:positionH>
                      <wp:positionV relativeFrom="paragraph">
                        <wp:posOffset>48895</wp:posOffset>
                      </wp:positionV>
                      <wp:extent cx="508635" cy="288925"/>
                      <wp:effectExtent l="0" t="0" r="0" b="0"/>
                      <wp:wrapNone/>
                      <wp:docPr id="90" name="文本框 474"/>
                      <wp:cNvGraphicFramePr/>
                      <a:graphic xmlns:a="http://schemas.openxmlformats.org/drawingml/2006/main">
                        <a:graphicData uri="http://schemas.microsoft.com/office/word/2010/wordprocessingShape">
                          <wps:wsp>
                            <wps:cNvSpPr txBox="1"/>
                            <wps:spPr>
                              <a:xfrm>
                                <a:off x="0" y="0"/>
                                <a:ext cx="508635" cy="28892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a:graphicData>
                      </a:graphic>
                    </wp:anchor>
                  </w:drawing>
                </mc:Choice>
                <mc:Fallback>
                  <w:pict>
                    <v:shape id="文本框 474" o:spid="_x0000_s1026" o:spt="202" type="#_x0000_t202" style="position:absolute;left:0pt;margin-left:157.05pt;margin-top:3.85pt;height:22.75pt;width:40.05pt;z-index:252460032;mso-width-relative:page;mso-height-relative:page;" filled="f" stroked="f" coordsize="21600,21600" o:gfxdata="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46b2dgAAAAIAQAADwAAAAAAAAAB&#10;ACAAAAAiAAAAZHJzL2Rvd25yZXYueG1sUEsBAhQAFAAAAAgAh07iQAHd90DXAQAAoAMAAA4AAAAA&#10;AAAAAQAgAAAAJwEAAGRycy9lMm9Eb2MueG1sUEsFBgAAAAAGAAYAWQEAAHAFA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w:pict>
                </mc:Fallback>
              </mc:AlternateContent>
            </w:r>
            <w:r>
              <mc:AlternateContent>
                <mc:Choice Requires="wps">
                  <w:drawing>
                    <wp:anchor distT="0" distB="0" distL="114300" distR="114300" simplePos="0" relativeHeight="253262848" behindDoc="0" locked="0" layoutInCell="1" allowOverlap="1">
                      <wp:simplePos x="0" y="0"/>
                      <wp:positionH relativeFrom="column">
                        <wp:posOffset>3070860</wp:posOffset>
                      </wp:positionH>
                      <wp:positionV relativeFrom="paragraph">
                        <wp:posOffset>29845</wp:posOffset>
                      </wp:positionV>
                      <wp:extent cx="508635" cy="288925"/>
                      <wp:effectExtent l="0" t="0" r="0" b="0"/>
                      <wp:wrapNone/>
                      <wp:docPr id="138" name="文本框 474"/>
                      <wp:cNvGraphicFramePr/>
                      <a:graphic xmlns:a="http://schemas.openxmlformats.org/drawingml/2006/main">
                        <a:graphicData uri="http://schemas.microsoft.com/office/word/2010/wordprocessingShape">
                          <wps:wsp>
                            <wps:cNvSpPr txBox="1"/>
                            <wps:spPr>
                              <a:xfrm>
                                <a:off x="0" y="0"/>
                                <a:ext cx="508635" cy="28892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a:graphicData>
                      </a:graphic>
                    </wp:anchor>
                  </w:drawing>
                </mc:Choice>
                <mc:Fallback>
                  <w:pict>
                    <v:shape id="文本框 474" o:spid="_x0000_s1026" o:spt="202" type="#_x0000_t202" style="position:absolute;left:0pt;margin-left:241.8pt;margin-top:2.35pt;height:22.75pt;width:40.05pt;z-index:253262848;mso-width-relative:page;mso-height-relative:page;" filled="f" stroked="f" coordsize="21600,21600" o:gfxdata="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gK8Ax1wAAAAgBAAAPAAAAAAAAAAEA&#10;IAAAACIAAABkcnMvZG93bnJldi54bWxQSwECFAAUAAAACACHTuJA8j8pYNcBAAChAwAADgAAAAAA&#10;AAABACAAAAAmAQAAZHJzL2Uyb0RvYy54bWxQSwUGAAAAAAYABgBZAQAAbwU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w:pict>
                </mc:Fallback>
              </mc:AlternateContent>
            </w:r>
            <w:r>
              <mc:AlternateContent>
                <mc:Choice Requires="wps">
                  <w:drawing>
                    <wp:anchor distT="0" distB="0" distL="114300" distR="114300" simplePos="0" relativeHeight="254868480" behindDoc="0" locked="0" layoutInCell="1" allowOverlap="1">
                      <wp:simplePos x="0" y="0"/>
                      <wp:positionH relativeFrom="column">
                        <wp:posOffset>4042410</wp:posOffset>
                      </wp:positionH>
                      <wp:positionV relativeFrom="paragraph">
                        <wp:posOffset>29845</wp:posOffset>
                      </wp:positionV>
                      <wp:extent cx="508635" cy="288925"/>
                      <wp:effectExtent l="0" t="0" r="0" b="0"/>
                      <wp:wrapNone/>
                      <wp:docPr id="145" name="文本框 474"/>
                      <wp:cNvGraphicFramePr/>
                      <a:graphic xmlns:a="http://schemas.openxmlformats.org/drawingml/2006/main">
                        <a:graphicData uri="http://schemas.microsoft.com/office/word/2010/wordprocessingShape">
                          <wps:wsp>
                            <wps:cNvSpPr txBox="1"/>
                            <wps:spPr>
                              <a:xfrm>
                                <a:off x="0" y="0"/>
                                <a:ext cx="508635" cy="28892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a:graphicData>
                      </a:graphic>
                    </wp:anchor>
                  </w:drawing>
                </mc:Choice>
                <mc:Fallback>
                  <w:pict>
                    <v:shape id="文本框 474" o:spid="_x0000_s1026" o:spt="202" type="#_x0000_t202" style="position:absolute;left:0pt;margin-left:318.3pt;margin-top:2.35pt;height:22.75pt;width:40.05pt;z-index:254868480;mso-width-relative:page;mso-height-relative:page;" filled="f" stroked="f" coordsize="21600,21600" o:gfxdata="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osM+LZAAAACAEAAA8AAAAAAAAA&#10;AQAgAAAAIgAAAGRycy9kb3ducmV2LnhtbFBLAQIUABQAAAAIAIdO4kBhI/Nb1wEAAKEDAAAOAAAA&#10;AAAAAAEAIAAAACgBAABkcnMvZTJvRG9jLnhtbFBLBQYAAAAABgAGAFkBAABxBQ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w:pict>
                </mc:Fallback>
              </mc:AlternateContent>
            </w: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r>
              <w:rPr>
                <w:rFonts w:eastAsia="黑体"/>
                <w:sz w:val="24"/>
              </w:rPr>
              <w:t>图</w:t>
            </w:r>
            <w:r>
              <w:rPr>
                <w:rFonts w:hint="eastAsia" w:eastAsia="黑体"/>
                <w:sz w:val="24"/>
              </w:rPr>
              <w:t>1</w:t>
            </w:r>
            <w:r>
              <w:rPr>
                <w:rFonts w:eastAsia="黑体"/>
                <w:sz w:val="24"/>
              </w:rPr>
              <w:t xml:space="preserve">  生产工艺流程及产污环节示意图</w:t>
            </w:r>
          </w:p>
          <w:p>
            <w:pPr>
              <w:spacing w:line="520" w:lineRule="exact"/>
              <w:ind w:firstLine="482" w:firstLineChars="200"/>
              <w:rPr>
                <w:b/>
                <w:sz w:val="24"/>
              </w:rPr>
            </w:pPr>
            <w:r>
              <w:rPr>
                <w:b/>
                <w:sz w:val="24"/>
              </w:rPr>
              <w:t>工艺流程简述：</w:t>
            </w:r>
          </w:p>
          <w:p>
            <w:pPr>
              <w:spacing w:line="520" w:lineRule="exact"/>
              <w:ind w:firstLine="480" w:firstLineChars="200"/>
              <w:rPr>
                <w:sz w:val="24"/>
              </w:rPr>
            </w:pPr>
            <w:r>
              <w:rPr>
                <w:sz w:val="24"/>
              </w:rPr>
              <w:t>（1）原料储存</w:t>
            </w:r>
          </w:p>
          <w:p>
            <w:pPr>
              <w:spacing w:line="520" w:lineRule="exact"/>
              <w:ind w:firstLine="480" w:firstLineChars="200"/>
              <w:rPr>
                <w:sz w:val="24"/>
              </w:rPr>
            </w:pPr>
            <w:r>
              <w:rPr>
                <w:sz w:val="24"/>
              </w:rPr>
              <w:t>本项目原料水泥</w:t>
            </w:r>
            <w:r>
              <w:rPr>
                <w:rFonts w:hint="eastAsia"/>
                <w:sz w:val="24"/>
                <w:lang w:eastAsia="zh-CN"/>
              </w:rPr>
              <w:t>、粉煤灰</w:t>
            </w:r>
            <w:r>
              <w:rPr>
                <w:sz w:val="24"/>
              </w:rPr>
              <w:t>采用罐车运输，运回厂区后通过气流泵送至水泥罐储存；沙子、石沫采用加盖篷布的密封车辆运输，运回厂区后储存在封闭原料仓库内。本工序主要产生</w:t>
            </w:r>
            <w:r>
              <w:rPr>
                <w:rFonts w:hint="eastAsia"/>
                <w:sz w:val="24"/>
                <w:lang w:eastAsia="zh-CN"/>
              </w:rPr>
              <w:t>颗粒物</w:t>
            </w:r>
            <w:r>
              <w:rPr>
                <w:sz w:val="24"/>
              </w:rPr>
              <w:t>污染。</w:t>
            </w:r>
          </w:p>
          <w:p>
            <w:pPr>
              <w:spacing w:line="520" w:lineRule="exact"/>
              <w:ind w:firstLine="480" w:firstLineChars="200"/>
              <w:rPr>
                <w:sz w:val="24"/>
              </w:rPr>
            </w:pPr>
            <w:r>
              <w:rPr>
                <w:sz w:val="24"/>
              </w:rPr>
              <w:t>本项目所用沙子和石沫原料采购时已达到生产所需粒径，可直接用于生产，不需要进行预处理。</w:t>
            </w:r>
          </w:p>
          <w:p>
            <w:pPr>
              <w:spacing w:line="520" w:lineRule="exact"/>
              <w:ind w:firstLine="480" w:firstLineChars="200"/>
              <w:rPr>
                <w:sz w:val="24"/>
              </w:rPr>
            </w:pPr>
            <w:r>
              <w:rPr>
                <w:sz w:val="24"/>
              </w:rPr>
              <w:t>（2）计量配料</w:t>
            </w:r>
          </w:p>
          <w:p>
            <w:pPr>
              <w:spacing w:line="520" w:lineRule="exact"/>
              <w:ind w:firstLine="480" w:firstLineChars="200"/>
              <w:rPr>
                <w:sz w:val="24"/>
              </w:rPr>
            </w:pPr>
            <w:r>
              <w:rPr>
                <w:sz w:val="24"/>
              </w:rPr>
              <w:t>生产时，开启水泥罐蝶阀，水泥</w:t>
            </w:r>
            <w:r>
              <w:rPr>
                <w:rFonts w:hint="eastAsia"/>
                <w:sz w:val="24"/>
                <w:lang w:eastAsia="zh-CN"/>
              </w:rPr>
              <w:t>及粉煤灰</w:t>
            </w:r>
            <w:r>
              <w:rPr>
                <w:sz w:val="24"/>
              </w:rPr>
              <w:t>落入配料仓之后进入经称量斗进行称量，称量后的水泥由称量斗下的气缸开启蝶阀进入搅拌机；沙子</w:t>
            </w:r>
            <w:r>
              <w:rPr>
                <w:rFonts w:hint="eastAsia"/>
                <w:sz w:val="24"/>
              </w:rPr>
              <w:t>、</w:t>
            </w:r>
            <w:r>
              <w:rPr>
                <w:sz w:val="24"/>
              </w:rPr>
              <w:t>石沫通过铲车送配料仓称量斗进行称量，称量后通过由称量斗下的气缸开启蝶阀进入搅拌机。本工序主要产生</w:t>
            </w:r>
            <w:r>
              <w:rPr>
                <w:rFonts w:hint="eastAsia"/>
                <w:sz w:val="24"/>
                <w:lang w:eastAsia="zh-CN"/>
              </w:rPr>
              <w:t>颗粒物</w:t>
            </w:r>
            <w:r>
              <w:rPr>
                <w:sz w:val="24"/>
              </w:rPr>
              <w:t>污染。</w:t>
            </w:r>
          </w:p>
          <w:p>
            <w:pPr>
              <w:spacing w:line="520" w:lineRule="exact"/>
              <w:ind w:firstLine="480" w:firstLineChars="200"/>
              <w:rPr>
                <w:sz w:val="24"/>
              </w:rPr>
            </w:pPr>
            <w:r>
              <w:rPr>
                <w:sz w:val="24"/>
              </w:rPr>
              <w:t>生产用水通过水泵把水抽入称量箱称量，称量后水由增压泵抽出经喷水器喷入搅拌机。本工序主要产生噪声污染。</w:t>
            </w:r>
          </w:p>
          <w:p>
            <w:pPr>
              <w:spacing w:line="520" w:lineRule="exact"/>
              <w:ind w:firstLine="480" w:firstLineChars="200"/>
              <w:rPr>
                <w:sz w:val="24"/>
              </w:rPr>
            </w:pPr>
            <w:r>
              <w:rPr>
                <w:sz w:val="24"/>
              </w:rPr>
              <w:t>（3）搅拌</w:t>
            </w:r>
          </w:p>
          <w:p>
            <w:pPr>
              <w:spacing w:line="520" w:lineRule="exact"/>
              <w:ind w:firstLine="480" w:firstLineChars="200"/>
              <w:rPr>
                <w:sz w:val="24"/>
              </w:rPr>
            </w:pPr>
            <w:r>
              <w:rPr>
                <w:sz w:val="24"/>
              </w:rPr>
              <w:t>水泥、沙子、石沫</w:t>
            </w:r>
            <w:r>
              <w:rPr>
                <w:rFonts w:hint="eastAsia"/>
                <w:sz w:val="24"/>
              </w:rPr>
              <w:t>、</w:t>
            </w:r>
            <w:r>
              <w:rPr>
                <w:rFonts w:hint="eastAsia"/>
                <w:sz w:val="24"/>
                <w:lang w:eastAsia="zh-CN"/>
              </w:rPr>
              <w:t>粉煤灰</w:t>
            </w:r>
            <w:r>
              <w:rPr>
                <w:sz w:val="24"/>
              </w:rPr>
              <w:t>和水按照设定的</w:t>
            </w:r>
            <w:r>
              <w:rPr>
                <w:rFonts w:hint="eastAsia"/>
                <w:sz w:val="24"/>
              </w:rPr>
              <w:t>比例</w:t>
            </w:r>
            <w:r>
              <w:rPr>
                <w:sz w:val="24"/>
              </w:rPr>
              <w:t>进入搅拌机，进入搅拌机的物料在相互反转的两根搅拌轴上双道螺旋叶片搅拌下，使物料产生挤压、摩擦、剪切、对流，从而进行剧烈的强制掺合，搅拌结束后，由搅拌机开门装置的气缸将门打开，由叶片将已经搅拌好的物料推至皮带输送机上，输送至成型机。本工序主要产生</w:t>
            </w:r>
            <w:r>
              <w:rPr>
                <w:rFonts w:hint="eastAsia"/>
                <w:sz w:val="24"/>
                <w:lang w:eastAsia="zh-CN"/>
              </w:rPr>
              <w:t>颗粒物</w:t>
            </w:r>
            <w:r>
              <w:rPr>
                <w:sz w:val="24"/>
              </w:rPr>
              <w:t>污染、噪声污染。</w:t>
            </w:r>
          </w:p>
          <w:p>
            <w:pPr>
              <w:spacing w:line="520" w:lineRule="exact"/>
              <w:ind w:firstLine="480" w:firstLineChars="200"/>
              <w:rPr>
                <w:color w:val="auto"/>
                <w:sz w:val="24"/>
              </w:rPr>
            </w:pPr>
            <w:r>
              <w:rPr>
                <w:color w:val="auto"/>
                <w:sz w:val="24"/>
              </w:rPr>
              <w:t>（4）切块成型</w:t>
            </w:r>
          </w:p>
          <w:p>
            <w:pPr>
              <w:spacing w:line="520" w:lineRule="exact"/>
              <w:ind w:firstLine="480" w:firstLineChars="200"/>
              <w:rPr>
                <w:rFonts w:hint="eastAsia" w:eastAsia="宋体"/>
                <w:color w:val="auto"/>
                <w:sz w:val="24"/>
                <w:lang w:eastAsia="zh-CN"/>
              </w:rPr>
            </w:pPr>
            <w:r>
              <w:rPr>
                <w:color w:val="auto"/>
                <w:sz w:val="24"/>
              </w:rPr>
              <w:t>本项目采用液压成型制砖机，通过上下振动形式和加压装置，将物料喂入压砖机模孔内，制砖机以每小时</w:t>
            </w:r>
            <w:r>
              <w:rPr>
                <w:rFonts w:hint="eastAsia"/>
                <w:color w:val="auto"/>
                <w:sz w:val="24"/>
              </w:rPr>
              <w:t>9</w:t>
            </w:r>
            <w:r>
              <w:rPr>
                <w:color w:val="auto"/>
                <w:sz w:val="24"/>
              </w:rPr>
              <w:t>000块的速度压出砖坯。</w:t>
            </w:r>
            <w:r>
              <w:rPr>
                <w:rFonts w:hint="eastAsia"/>
                <w:color w:val="auto"/>
                <w:sz w:val="24"/>
                <w:lang w:eastAsia="zh-CN"/>
              </w:rPr>
              <w:t>同时</w:t>
            </w:r>
            <w:r>
              <w:rPr>
                <w:rFonts w:ascii="Times New Roman"/>
                <w:color w:val="auto"/>
                <w:sz w:val="24"/>
              </w:rPr>
              <w:t>需要铺面料的</w:t>
            </w:r>
            <w:r>
              <w:rPr>
                <w:rFonts w:hint="eastAsia" w:ascii="Times New Roman"/>
                <w:color w:val="auto"/>
                <w:sz w:val="24"/>
                <w:lang w:eastAsia="zh-CN"/>
              </w:rPr>
              <w:t>砖坯</w:t>
            </w:r>
            <w:r>
              <w:rPr>
                <w:rFonts w:ascii="Times New Roman"/>
                <w:color w:val="auto"/>
                <w:sz w:val="24"/>
              </w:rPr>
              <w:t>由传送带输送至面料</w:t>
            </w:r>
            <w:r>
              <w:rPr>
                <w:rFonts w:hint="eastAsia" w:ascii="Times New Roman"/>
                <w:color w:val="auto"/>
                <w:sz w:val="24"/>
                <w:lang w:eastAsia="zh-CN"/>
              </w:rPr>
              <w:t>机进行铺面料。</w:t>
            </w:r>
            <w:r>
              <w:rPr>
                <w:color w:val="auto"/>
                <w:sz w:val="24"/>
              </w:rPr>
              <w:t>本工序主要产生噪声污染、固废。</w:t>
            </w:r>
          </w:p>
          <w:p>
            <w:pPr>
              <w:spacing w:line="520" w:lineRule="exact"/>
              <w:rPr>
                <w:sz w:val="24"/>
              </w:rPr>
            </w:pPr>
            <w:r>
              <w:rPr>
                <w:sz w:val="24"/>
              </w:rPr>
              <w:t xml:space="preserve">    （</w:t>
            </w:r>
            <w:r>
              <w:rPr>
                <w:rFonts w:hint="eastAsia"/>
                <w:sz w:val="24"/>
              </w:rPr>
              <w:t>5</w:t>
            </w:r>
            <w:r>
              <w:rPr>
                <w:sz w:val="24"/>
              </w:rPr>
              <w:t>）自然养护</w:t>
            </w:r>
          </w:p>
          <w:p>
            <w:pPr>
              <w:spacing w:line="520" w:lineRule="exact"/>
              <w:ind w:firstLine="480" w:firstLineChars="200"/>
              <w:rPr>
                <w:sz w:val="24"/>
              </w:rPr>
            </w:pPr>
            <w:r>
              <w:rPr>
                <w:sz w:val="24"/>
              </w:rPr>
              <w:t>成型后</w:t>
            </w:r>
            <w:r>
              <w:rPr>
                <w:rFonts w:hint="eastAsia"/>
                <w:sz w:val="24"/>
                <w:lang w:eastAsia="zh-CN"/>
              </w:rPr>
              <w:t>的砖坯</w:t>
            </w:r>
            <w:r>
              <w:rPr>
                <w:sz w:val="24"/>
              </w:rPr>
              <w:t>通过自动剁砖机将产品送运至养护区自然晾晒，在</w:t>
            </w:r>
            <w:r>
              <w:rPr>
                <w:rFonts w:hint="eastAsia"/>
                <w:sz w:val="24"/>
                <w:lang w:eastAsia="zh-CN"/>
              </w:rPr>
              <w:t>夏季</w:t>
            </w:r>
            <w:r>
              <w:rPr>
                <w:sz w:val="24"/>
              </w:rPr>
              <w:t>晾晒过程中需要对产品进行定时洒水，经过</w:t>
            </w:r>
            <w:r>
              <w:rPr>
                <w:rFonts w:hint="eastAsia"/>
                <w:sz w:val="24"/>
                <w:lang w:val="en-US" w:eastAsia="zh-CN"/>
              </w:rPr>
              <w:t>4-6h</w:t>
            </w:r>
            <w:r>
              <w:rPr>
                <w:sz w:val="24"/>
              </w:rPr>
              <w:t>的养护后可达到产品品质要求。</w:t>
            </w:r>
          </w:p>
          <w:p>
            <w:pPr>
              <w:spacing w:line="520" w:lineRule="exact"/>
              <w:ind w:firstLine="480" w:firstLineChars="200"/>
              <w:rPr>
                <w:sz w:val="24"/>
              </w:rPr>
            </w:pPr>
            <w:r>
              <w:rPr>
                <w:sz w:val="24"/>
              </w:rPr>
              <w:t>（6）成品外售</w:t>
            </w:r>
          </w:p>
          <w:p>
            <w:pPr>
              <w:spacing w:line="520" w:lineRule="exact"/>
              <w:ind w:firstLine="480" w:firstLineChars="200"/>
              <w:jc w:val="left"/>
              <w:rPr>
                <w:sz w:val="24"/>
              </w:rPr>
            </w:pPr>
            <w:r>
              <w:rPr>
                <w:sz w:val="24"/>
              </w:rPr>
              <w:t>达到产品质量的合格成品砖送成品区，通过汽运外售给用户。</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97" w:hRule="atLeast"/>
        </w:trPr>
        <w:tc>
          <w:tcPr>
            <w:tcW w:w="8946" w:type="dxa"/>
            <w:tcBorders>
              <w:top w:val="single" w:color="auto" w:sz="6" w:space="0"/>
            </w:tcBorders>
            <w:noWrap/>
          </w:tcPr>
          <w:p>
            <w:pPr>
              <w:spacing w:line="520" w:lineRule="exact"/>
              <w:rPr>
                <w:b/>
                <w:sz w:val="24"/>
              </w:rPr>
            </w:pPr>
            <w:r>
              <w:rPr>
                <w:b/>
                <w:sz w:val="24"/>
              </w:rPr>
              <w:t>主要污染工序：</w:t>
            </w:r>
          </w:p>
          <w:p>
            <w:pPr>
              <w:spacing w:line="520" w:lineRule="exact"/>
              <w:rPr>
                <w:rFonts w:eastAsia="黑体"/>
                <w:sz w:val="24"/>
              </w:rPr>
            </w:pPr>
            <w:r>
              <w:rPr>
                <w:rFonts w:eastAsia="黑体"/>
                <w:sz w:val="24"/>
              </w:rPr>
              <w:t>施工期污染因素分析</w:t>
            </w:r>
          </w:p>
          <w:p>
            <w:pPr>
              <w:spacing w:line="520" w:lineRule="exact"/>
              <w:ind w:firstLine="480" w:firstLineChars="200"/>
              <w:rPr>
                <w:sz w:val="24"/>
              </w:rPr>
            </w:pPr>
            <w:r>
              <w:rPr>
                <w:bCs/>
                <w:sz w:val="24"/>
              </w:rPr>
              <w:t>本项目选址位于</w:t>
            </w:r>
            <w:r>
              <w:rPr>
                <w:rFonts w:hint="eastAsia"/>
                <w:sz w:val="24"/>
              </w:rPr>
              <w:t>平顶山市鲁山县张良镇工业园区西南角</w:t>
            </w:r>
            <w:r>
              <w:rPr>
                <w:sz w:val="24"/>
              </w:rPr>
              <w:t>。项目施工期主要建设内容包括生产车间、原料仓库</w:t>
            </w:r>
            <w:r>
              <w:rPr>
                <w:rFonts w:hint="eastAsia"/>
                <w:sz w:val="24"/>
                <w:lang w:eastAsia="zh-CN"/>
              </w:rPr>
              <w:t>的封闭改造、沉淀池的建设</w:t>
            </w:r>
            <w:r>
              <w:rPr>
                <w:sz w:val="24"/>
              </w:rPr>
              <w:t>，</w:t>
            </w:r>
            <w:r>
              <w:rPr>
                <w:bCs/>
                <w:sz w:val="24"/>
              </w:rPr>
              <w:t>施工量较小，施工活动较为简单。项目在</w:t>
            </w:r>
            <w:r>
              <w:rPr>
                <w:sz w:val="24"/>
              </w:rPr>
              <w:t>建设过程中产生的噪声、扬尘、废水、固废等会对周围环境构成一定污染影响，但影响持续时间短，强度低，施工期结束影响将随之消失。</w:t>
            </w:r>
          </w:p>
          <w:p>
            <w:pPr>
              <w:spacing w:line="460" w:lineRule="exact"/>
              <w:ind w:firstLine="465"/>
              <w:rPr>
                <w:rFonts w:ascii="Times New Roman" w:hAnsi="Times New Roman" w:eastAsia="黑体"/>
                <w:sz w:val="24"/>
              </w:rPr>
            </w:pPr>
            <w:r>
              <w:rPr>
                <w:rFonts w:ascii="Times New Roman" w:hAnsi="Times New Roman" w:eastAsia="黑体"/>
                <w:sz w:val="24"/>
              </w:rPr>
              <w:t>1、废气</w:t>
            </w:r>
          </w:p>
          <w:p>
            <w:pPr>
              <w:spacing w:line="520" w:lineRule="exact"/>
              <w:ind w:firstLine="480" w:firstLineChars="200"/>
              <w:rPr>
                <w:rFonts w:ascii="Times New Roman" w:hAnsi="Times New Roman" w:eastAsia="黑体"/>
                <w:sz w:val="24"/>
              </w:rPr>
            </w:pP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扬尘</w:t>
            </w:r>
          </w:p>
          <w:p>
            <w:pPr>
              <w:snapToGrid w:val="0"/>
              <w:spacing w:line="520" w:lineRule="exact"/>
              <w:ind w:firstLine="480" w:firstLineChars="200"/>
              <w:rPr>
                <w:rFonts w:ascii="Times New Roman" w:hAnsi="Times New Roman"/>
                <w:sz w:val="24"/>
              </w:rPr>
            </w:pPr>
            <w:r>
              <w:rPr>
                <w:rFonts w:ascii="Times New Roman" w:hAnsi="Times New Roman"/>
                <w:sz w:val="24"/>
              </w:rPr>
              <w:t>施工</w:t>
            </w:r>
            <w:r>
              <w:rPr>
                <w:rFonts w:hint="eastAsia" w:ascii="Times New Roman" w:hAnsi="Times New Roman"/>
                <w:sz w:val="24"/>
              </w:rPr>
              <w:t>期</w:t>
            </w:r>
            <w:r>
              <w:rPr>
                <w:rFonts w:ascii="Times New Roman" w:hAnsi="Times New Roman"/>
                <w:sz w:val="24"/>
              </w:rPr>
              <w:t>场地</w:t>
            </w:r>
            <w:r>
              <w:rPr>
                <w:rFonts w:hint="eastAsia" w:ascii="Times New Roman" w:hAnsi="Times New Roman"/>
                <w:sz w:val="24"/>
              </w:rPr>
              <w:t>整理</w:t>
            </w:r>
            <w:r>
              <w:rPr>
                <w:rFonts w:ascii="Times New Roman" w:hAnsi="Times New Roman"/>
                <w:sz w:val="24"/>
              </w:rPr>
              <w:t>、填、挖以及建筑垃圾的装卸和运输过程中将产生将产生扬尘，由于施工的需要，施工点地基的开挖、堆放、回填过程中及建筑材料的运输、堆放等，在干燥有风的情况下，会产生一定量的扬尘，按起尘的原因可分为风力起尘和动力起尘，其中主要由于露天堆放的建材及裸露的施工区表层土因天气干燥及大风原因而产生扬尘；动力扬尘主要是在建材装卸过程中，由外力而产生的尘粒悬浮而造成的。</w:t>
            </w:r>
          </w:p>
          <w:p>
            <w:pPr>
              <w:spacing w:line="520" w:lineRule="exact"/>
              <w:ind w:firstLine="480" w:firstLineChars="200"/>
              <w:rPr>
                <w:rFonts w:hint="default" w:ascii="Times New Roman" w:hAnsi="Times New Roman" w:eastAsia="宋体" w:cs="Times New Roman"/>
                <w:sz w:val="24"/>
                <w:lang w:eastAsia="zh-CN"/>
              </w:rPr>
            </w:pP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2</w:t>
            </w:r>
            <w:r>
              <w:rPr>
                <w:rFonts w:hint="eastAsia" w:ascii="Times New Roman" w:hAnsi="Times New Roman" w:eastAsia="宋体" w:cs="Times New Roman"/>
                <w:sz w:val="24"/>
                <w:lang w:eastAsia="zh-CN"/>
              </w:rPr>
              <w:t>）</w:t>
            </w:r>
            <w:r>
              <w:rPr>
                <w:rFonts w:hint="default" w:ascii="Times New Roman" w:hAnsi="Times New Roman" w:eastAsia="宋体" w:cs="Times New Roman"/>
                <w:sz w:val="24"/>
                <w:lang w:eastAsia="zh-CN"/>
              </w:rPr>
              <w:t>施工机械废气</w:t>
            </w:r>
          </w:p>
          <w:p>
            <w:pPr>
              <w:spacing w:line="520" w:lineRule="exact"/>
              <w:rPr>
                <w:rFonts w:ascii="Times New Roman" w:hAnsi="Times New Roman"/>
                <w:sz w:val="24"/>
              </w:rPr>
            </w:pPr>
            <w:r>
              <w:rPr>
                <w:rFonts w:ascii="Times New Roman" w:hAnsi="Times New Roman"/>
                <w:sz w:val="24"/>
              </w:rPr>
              <w:t xml:space="preserve">    施工期间燃油机械设备较多，且一般采用柴油作为动力。燃柴油的大型施工运输车辆如自卸车、载重汽车等尾气排放量及污染物含量较燃气油车辆高，作业时会产生一些废气，其主要污染物为NOx、CO和THC。</w:t>
            </w:r>
          </w:p>
          <w:p>
            <w:pPr>
              <w:spacing w:line="520" w:lineRule="exact"/>
              <w:ind w:firstLine="480" w:firstLineChars="200"/>
              <w:rPr>
                <w:rFonts w:ascii="Times New Roman" w:hAnsi="Times New Roman" w:eastAsia="黑体"/>
                <w:sz w:val="24"/>
              </w:rPr>
            </w:pPr>
            <w:r>
              <w:rPr>
                <w:rFonts w:hint="eastAsia" w:eastAsia="黑体"/>
                <w:sz w:val="24"/>
                <w:lang w:val="en-US" w:eastAsia="zh-CN"/>
              </w:rPr>
              <w:t>2、</w:t>
            </w:r>
            <w:r>
              <w:rPr>
                <w:rFonts w:ascii="Times New Roman" w:hAnsi="Times New Roman" w:eastAsia="黑体"/>
                <w:sz w:val="24"/>
              </w:rPr>
              <w:t>废水</w:t>
            </w:r>
          </w:p>
          <w:p>
            <w:pPr>
              <w:spacing w:line="520" w:lineRule="exact"/>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（1）生活污水</w:t>
            </w:r>
          </w:p>
          <w:p>
            <w:pPr>
              <w:spacing w:line="520" w:lineRule="exact"/>
              <w:ind w:firstLine="480" w:firstLineChars="200"/>
              <w:rPr>
                <w:rFonts w:ascii="Times New Roman" w:hAnsi="Times New Roman"/>
                <w:sz w:val="24"/>
              </w:rPr>
            </w:pPr>
            <w:r>
              <w:rPr>
                <w:rFonts w:ascii="Times New Roman" w:hAnsi="Times New Roman"/>
                <w:sz w:val="24"/>
              </w:rPr>
              <w:t>在不同的建设阶段，施工人数不尽相同，按照施工高峰期估计施工人数约为</w:t>
            </w:r>
            <w:r>
              <w:rPr>
                <w:rFonts w:hint="eastAsia" w:ascii="Times New Roman" w:hAnsi="Times New Roman"/>
                <w:sz w:val="24"/>
                <w:lang w:val="en-US" w:eastAsia="zh-CN"/>
              </w:rPr>
              <w:t>20</w:t>
            </w:r>
            <w:r>
              <w:rPr>
                <w:rFonts w:ascii="Times New Roman" w:hAnsi="Times New Roman"/>
                <w:sz w:val="24"/>
              </w:rPr>
              <w:t>人。施工人员按照每天生活用水</w:t>
            </w:r>
            <w:r>
              <w:rPr>
                <w:rFonts w:hint="eastAsia" w:ascii="Times New Roman" w:hAnsi="Times New Roman"/>
                <w:sz w:val="24"/>
                <w:lang w:val="en-US" w:eastAsia="zh-CN"/>
              </w:rPr>
              <w:t>5</w:t>
            </w:r>
            <w:r>
              <w:rPr>
                <w:rFonts w:ascii="Times New Roman" w:hAnsi="Times New Roman"/>
                <w:sz w:val="24"/>
              </w:rPr>
              <w:t>0L/人计，则生活用水量为</w:t>
            </w:r>
            <w:r>
              <w:rPr>
                <w:rFonts w:hint="eastAsia" w:ascii="Times New Roman" w:hAnsi="Times New Roman"/>
                <w:sz w:val="24"/>
                <w:lang w:val="en-US" w:eastAsia="zh-CN"/>
              </w:rPr>
              <w:t>1</w:t>
            </w:r>
            <w:r>
              <w:rPr>
                <w:rFonts w:ascii="Times New Roman" w:hAnsi="Times New Roman"/>
                <w:sz w:val="24"/>
              </w:rPr>
              <w:t>.0m</w:t>
            </w:r>
            <w:r>
              <w:rPr>
                <w:rFonts w:ascii="Times New Roman" w:hAnsi="Times New Roman"/>
                <w:sz w:val="24"/>
                <w:vertAlign w:val="superscript"/>
              </w:rPr>
              <w:t>3</w:t>
            </w:r>
            <w:r>
              <w:rPr>
                <w:rFonts w:ascii="Times New Roman" w:hAnsi="Times New Roman"/>
                <w:sz w:val="24"/>
              </w:rPr>
              <w:t>/d，污水排放系数取0.8，则施工期生活污水量为</w:t>
            </w:r>
            <w:r>
              <w:rPr>
                <w:rFonts w:hint="eastAsia" w:ascii="Times New Roman" w:hAnsi="Times New Roman"/>
                <w:sz w:val="24"/>
                <w:lang w:val="en-US" w:eastAsia="zh-CN"/>
              </w:rPr>
              <w:t>0.8</w:t>
            </w:r>
            <w:r>
              <w:rPr>
                <w:rFonts w:ascii="Times New Roman" w:hAnsi="Times New Roman"/>
                <w:sz w:val="24"/>
              </w:rPr>
              <w:t>m</w:t>
            </w:r>
            <w:r>
              <w:rPr>
                <w:rFonts w:ascii="Times New Roman" w:hAnsi="Times New Roman"/>
                <w:sz w:val="24"/>
                <w:vertAlign w:val="superscript"/>
              </w:rPr>
              <w:t>3</w:t>
            </w:r>
            <w:r>
              <w:rPr>
                <w:rFonts w:ascii="Times New Roman" w:hAnsi="Times New Roman"/>
                <w:sz w:val="24"/>
              </w:rPr>
              <w:t>/d。</w:t>
            </w:r>
            <w:r>
              <w:rPr>
                <w:rFonts w:hint="eastAsia" w:ascii="Times New Roman" w:hAnsi="Times New Roman"/>
                <w:color w:val="auto"/>
                <w:sz w:val="24"/>
                <w:lang w:eastAsia="zh-CN"/>
              </w:rPr>
              <w:t>施工天数约为</w:t>
            </w:r>
            <w:r>
              <w:rPr>
                <w:rFonts w:hint="eastAsia" w:ascii="Times New Roman" w:hAnsi="Times New Roman"/>
                <w:color w:val="auto"/>
                <w:sz w:val="24"/>
                <w:lang w:val="en-US" w:eastAsia="zh-CN"/>
              </w:rPr>
              <w:t>540天，</w:t>
            </w:r>
            <w:r>
              <w:rPr>
                <w:rFonts w:ascii="Times New Roman" w:hAnsi="Times New Roman"/>
                <w:snapToGrid w:val="0"/>
                <w:color w:val="auto"/>
                <w:kern w:val="0"/>
                <w:sz w:val="24"/>
                <w:szCs w:val="24"/>
              </w:rPr>
              <w:t>则整个施工期</w:t>
            </w:r>
            <w:r>
              <w:rPr>
                <w:rFonts w:hint="eastAsia" w:ascii="Times New Roman" w:hAnsi="Times New Roman"/>
                <w:snapToGrid w:val="0"/>
                <w:color w:val="auto"/>
                <w:kern w:val="0"/>
                <w:sz w:val="24"/>
                <w:szCs w:val="24"/>
                <w:lang w:eastAsia="zh-CN"/>
              </w:rPr>
              <w:t>生活污水</w:t>
            </w:r>
            <w:r>
              <w:rPr>
                <w:rFonts w:ascii="Times New Roman" w:hAnsi="Times New Roman"/>
                <w:snapToGrid w:val="0"/>
                <w:color w:val="auto"/>
                <w:kern w:val="0"/>
                <w:sz w:val="24"/>
                <w:szCs w:val="24"/>
              </w:rPr>
              <w:t>产生量为</w:t>
            </w:r>
            <w:r>
              <w:rPr>
                <w:rFonts w:hint="eastAsia" w:ascii="Times New Roman" w:hAnsi="Times New Roman"/>
                <w:snapToGrid w:val="0"/>
                <w:color w:val="auto"/>
                <w:kern w:val="0"/>
                <w:sz w:val="24"/>
                <w:szCs w:val="24"/>
                <w:lang w:val="en-US" w:eastAsia="zh-CN"/>
              </w:rPr>
              <w:t>432m</w:t>
            </w:r>
            <w:r>
              <w:rPr>
                <w:rFonts w:hint="eastAsia" w:ascii="Times New Roman" w:hAnsi="Times New Roman"/>
                <w:snapToGrid w:val="0"/>
                <w:color w:val="auto"/>
                <w:kern w:val="0"/>
                <w:sz w:val="24"/>
                <w:szCs w:val="24"/>
                <w:vertAlign w:val="superscript"/>
                <w:lang w:val="en-US" w:eastAsia="zh-CN"/>
              </w:rPr>
              <w:t>3</w:t>
            </w:r>
            <w:r>
              <w:rPr>
                <w:rFonts w:hint="eastAsia" w:ascii="Times New Roman" w:hAnsi="Times New Roman"/>
                <w:snapToGrid w:val="0"/>
                <w:color w:val="auto"/>
                <w:kern w:val="0"/>
                <w:sz w:val="24"/>
                <w:szCs w:val="24"/>
                <w:lang w:eastAsia="zh-CN"/>
              </w:rPr>
              <w:t>，</w:t>
            </w:r>
            <w:r>
              <w:rPr>
                <w:rFonts w:ascii="Times New Roman" w:hAnsi="Times New Roman"/>
                <w:color w:val="auto"/>
                <w:sz w:val="24"/>
              </w:rPr>
              <w:t>施工场地设置化粪池，生活污水经化粪池处理后</w:t>
            </w:r>
            <w:r>
              <w:rPr>
                <w:rFonts w:hint="eastAsia" w:ascii="Times New Roman" w:hAnsi="Times New Roman"/>
                <w:color w:val="auto"/>
                <w:sz w:val="24"/>
              </w:rPr>
              <w:t>经市政管网进入鲁山县利民污水处理厂处理</w:t>
            </w:r>
            <w:r>
              <w:rPr>
                <w:rFonts w:ascii="Times New Roman" w:hAnsi="Times New Roman"/>
                <w:color w:val="auto"/>
                <w:sz w:val="24"/>
              </w:rPr>
              <w:t>。</w:t>
            </w:r>
          </w:p>
          <w:p>
            <w:pPr>
              <w:spacing w:line="520" w:lineRule="exact"/>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（2）施工废水</w:t>
            </w:r>
          </w:p>
          <w:p>
            <w:pPr>
              <w:spacing w:line="520" w:lineRule="exact"/>
              <w:ind w:firstLine="480" w:firstLineChars="200"/>
              <w:rPr>
                <w:rFonts w:ascii="Times New Roman" w:hAnsi="Times New Roman"/>
                <w:sz w:val="24"/>
              </w:rPr>
            </w:pPr>
            <w:r>
              <w:rPr>
                <w:rFonts w:ascii="Times New Roman" w:hAnsi="Times New Roman"/>
                <w:sz w:val="24"/>
              </w:rPr>
              <w:t>主要为施工机械冲洗、设备冲洗与建筑材料的保湿等施工工序产生的泥沙废水，排放量较难估算，其成分相对简单，主要污染物是SS，水量较小，且一般瞬时排放，该废水悬浮物浓度较大，但不含其它可溶性的有害物质，可以设置临时沉淀池沉淀后泼洒抑尘，不得随意外排。</w:t>
            </w:r>
          </w:p>
          <w:p>
            <w:pPr>
              <w:spacing w:line="520" w:lineRule="exact"/>
              <w:ind w:firstLine="480" w:firstLineChars="200"/>
              <w:rPr>
                <w:rFonts w:ascii="Times New Roman" w:hAnsi="Times New Roman" w:eastAsia="黑体"/>
                <w:sz w:val="24"/>
              </w:rPr>
            </w:pPr>
            <w:r>
              <w:rPr>
                <w:rFonts w:hint="eastAsia" w:eastAsia="黑体"/>
                <w:sz w:val="24"/>
                <w:lang w:val="en-US" w:eastAsia="zh-CN"/>
              </w:rPr>
              <w:t>3、</w:t>
            </w:r>
            <w:r>
              <w:rPr>
                <w:rFonts w:ascii="Times New Roman" w:hAnsi="Times New Roman" w:eastAsia="黑体"/>
                <w:sz w:val="24"/>
              </w:rPr>
              <w:t>噪声</w:t>
            </w:r>
          </w:p>
          <w:p>
            <w:pPr>
              <w:adjustRightInd w:val="0"/>
              <w:snapToGrid w:val="0"/>
              <w:spacing w:line="520" w:lineRule="exact"/>
              <w:ind w:firstLine="480" w:firstLineChars="200"/>
              <w:rPr>
                <w:rFonts w:ascii="Times New Roman" w:hAnsi="Times New Roman"/>
                <w:sz w:val="24"/>
              </w:rPr>
            </w:pPr>
            <w:r>
              <w:rPr>
                <w:rFonts w:hint="eastAsia" w:ascii="Times New Roman" w:hAnsi="Times New Roman" w:cs="Times New Roman"/>
                <w:sz w:val="24"/>
              </w:rPr>
              <w:t>本项目</w:t>
            </w:r>
            <w:r>
              <w:rPr>
                <w:rFonts w:ascii="Times New Roman" w:hAnsi="Times New Roman"/>
                <w:sz w:val="24"/>
              </w:rPr>
              <w:t>施工期产生的噪声具有阶段性、临时性和不固定性。在这些施工噪声中对环境影响最大的是机械噪声，施工期噪声主要为主体施工阶段使用挖掘机、装载机、推土机、运输车等机械作业时产生的噪声。经调查，典型施工机械开动时噪声源强较高，噪声源强约在80-100dB(A)之间。</w:t>
            </w:r>
          </w:p>
          <w:p>
            <w:pPr>
              <w:spacing w:line="520" w:lineRule="exact"/>
              <w:ind w:firstLine="480" w:firstLineChars="200"/>
              <w:rPr>
                <w:rFonts w:hint="eastAsia" w:ascii="Times New Roman" w:hAnsi="Times New Roman" w:eastAsia="黑体" w:cs="Times New Roman"/>
                <w:sz w:val="24"/>
                <w:lang w:val="en-US" w:eastAsia="zh-CN"/>
              </w:rPr>
            </w:pPr>
            <w:r>
              <w:rPr>
                <w:rFonts w:hint="eastAsia" w:ascii="Times New Roman" w:hAnsi="Times New Roman" w:eastAsia="黑体" w:cs="Times New Roman"/>
                <w:sz w:val="24"/>
                <w:lang w:val="en-US" w:eastAsia="zh-CN"/>
              </w:rPr>
              <w:t>4、固体废物</w:t>
            </w:r>
          </w:p>
          <w:p>
            <w:pPr>
              <w:pStyle w:val="88"/>
              <w:spacing w:line="520" w:lineRule="exact"/>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生活垃圾</w:t>
            </w:r>
          </w:p>
          <w:p>
            <w:pPr>
              <w:pStyle w:val="19"/>
              <w:spacing w:line="520" w:lineRule="exact"/>
              <w:ind w:firstLine="480" w:firstLineChars="200"/>
              <w:rPr>
                <w:rFonts w:hint="default" w:ascii="Times New Roman" w:hAnsi="Times New Roman" w:eastAsia="宋体" w:cs="Times New Roman"/>
                <w:color w:val="auto"/>
                <w:sz w:val="24"/>
              </w:rPr>
            </w:pPr>
            <w:r>
              <w:rPr>
                <w:rFonts w:hint="default" w:ascii="Times New Roman" w:hAnsi="Times New Roman" w:eastAsia="宋体" w:cs="Times New Roman"/>
                <w:color w:val="auto"/>
                <w:sz w:val="24"/>
              </w:rPr>
              <w:t>施工阶段人数最多时施工人员</w:t>
            </w:r>
            <w:r>
              <w:rPr>
                <w:rFonts w:hint="default" w:ascii="Times New Roman" w:hAnsi="Times New Roman" w:eastAsia="宋体" w:cs="Times New Roman"/>
                <w:color w:val="auto"/>
                <w:sz w:val="24"/>
                <w:lang w:val="en-US" w:eastAsia="zh-CN"/>
              </w:rPr>
              <w:t>5</w:t>
            </w:r>
            <w:r>
              <w:rPr>
                <w:rFonts w:hint="default" w:ascii="Times New Roman" w:hAnsi="Times New Roman" w:eastAsia="宋体" w:cs="Times New Roman"/>
                <w:color w:val="auto"/>
                <w:sz w:val="24"/>
              </w:rPr>
              <w:t>人，施工人员生活垃圾按每人每天0.5kg计，则施工期生活垃圾产生量为</w:t>
            </w:r>
            <w:r>
              <w:rPr>
                <w:rFonts w:hint="default" w:ascii="Times New Roman" w:hAnsi="Times New Roman" w:eastAsia="宋体" w:cs="Times New Roman"/>
                <w:color w:val="auto"/>
                <w:sz w:val="24"/>
                <w:lang w:val="en-US" w:eastAsia="zh-CN"/>
              </w:rPr>
              <w:t>2.5</w:t>
            </w:r>
            <w:r>
              <w:rPr>
                <w:rFonts w:hint="default" w:ascii="Times New Roman" w:hAnsi="Times New Roman" w:eastAsia="宋体" w:cs="Times New Roman"/>
                <w:color w:val="auto"/>
                <w:sz w:val="24"/>
              </w:rPr>
              <w:t>kg/d。</w:t>
            </w:r>
            <w:r>
              <w:rPr>
                <w:rFonts w:hint="default" w:ascii="Times New Roman" w:hAnsi="Times New Roman" w:eastAsia="宋体" w:cs="Times New Roman"/>
                <w:color w:val="auto"/>
                <w:sz w:val="24"/>
                <w:lang w:eastAsia="zh-CN"/>
              </w:rPr>
              <w:t>施工天数约为</w:t>
            </w:r>
            <w:r>
              <w:rPr>
                <w:rFonts w:hint="default" w:ascii="Times New Roman" w:hAnsi="Times New Roman" w:eastAsia="宋体" w:cs="Times New Roman"/>
                <w:color w:val="auto"/>
                <w:sz w:val="24"/>
                <w:lang w:val="en-US" w:eastAsia="zh-CN"/>
              </w:rPr>
              <w:t>10天，</w:t>
            </w:r>
            <w:r>
              <w:rPr>
                <w:rFonts w:hint="default" w:ascii="Times New Roman" w:hAnsi="Times New Roman" w:eastAsia="宋体" w:cs="Times New Roman"/>
                <w:snapToGrid w:val="0"/>
                <w:color w:val="auto"/>
                <w:kern w:val="0"/>
                <w:sz w:val="24"/>
                <w:szCs w:val="24"/>
              </w:rPr>
              <w:t>则整个施工期生活垃圾产生量为</w:t>
            </w:r>
            <w:r>
              <w:rPr>
                <w:rFonts w:hint="default" w:ascii="Times New Roman" w:hAnsi="Times New Roman" w:eastAsia="宋体" w:cs="Times New Roman"/>
                <w:snapToGrid w:val="0"/>
                <w:color w:val="auto"/>
                <w:kern w:val="0"/>
                <w:sz w:val="24"/>
                <w:szCs w:val="24"/>
                <w:lang w:val="en-US" w:eastAsia="zh-CN"/>
              </w:rPr>
              <w:t>25kg</w:t>
            </w:r>
            <w:r>
              <w:rPr>
                <w:rFonts w:hint="default" w:ascii="Times New Roman" w:hAnsi="Times New Roman" w:eastAsia="宋体" w:cs="Times New Roman"/>
                <w:snapToGrid w:val="0"/>
                <w:color w:val="auto"/>
                <w:kern w:val="0"/>
                <w:sz w:val="24"/>
                <w:szCs w:val="24"/>
                <w:lang w:eastAsia="zh-CN"/>
              </w:rPr>
              <w:t>，</w:t>
            </w:r>
            <w:r>
              <w:rPr>
                <w:rFonts w:hint="default" w:ascii="Times New Roman" w:hAnsi="Times New Roman" w:eastAsia="宋体" w:cs="Times New Roman"/>
                <w:color w:val="auto"/>
                <w:sz w:val="24"/>
              </w:rPr>
              <w:t>统一收集后交由环卫部门处理。</w:t>
            </w:r>
          </w:p>
          <w:p>
            <w:pPr>
              <w:spacing w:line="520" w:lineRule="exact"/>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建筑垃圾</w:t>
            </w:r>
          </w:p>
          <w:p>
            <w:pPr>
              <w:spacing w:line="520" w:lineRule="exact"/>
              <w:ind w:firstLine="480"/>
              <w:rPr>
                <w:sz w:val="24"/>
              </w:rPr>
            </w:pPr>
            <w:r>
              <w:rPr>
                <w:rFonts w:hint="default" w:ascii="Times New Roman" w:hAnsi="Times New Roman" w:cs="Times New Roman"/>
                <w:bCs/>
                <w:sz w:val="24"/>
              </w:rPr>
              <w:t>施工期在</w:t>
            </w:r>
            <w:r>
              <w:rPr>
                <w:rFonts w:hint="eastAsia" w:cs="Times New Roman"/>
                <w:bCs/>
                <w:sz w:val="24"/>
                <w:lang w:eastAsia="zh-CN"/>
              </w:rPr>
              <w:t>车间密封</w:t>
            </w:r>
            <w:r>
              <w:rPr>
                <w:rFonts w:hint="default" w:ascii="Times New Roman" w:hAnsi="Times New Roman" w:cs="Times New Roman"/>
                <w:bCs/>
                <w:sz w:val="24"/>
              </w:rPr>
              <w:t>过程中会产生建筑垃圾，主要包括废建材、废包装材料等，不能将其随处乱丢乱放，产生的金属结构钢材等可外售资源化利用，</w:t>
            </w:r>
            <w:r>
              <w:rPr>
                <w:rFonts w:hint="eastAsia" w:cs="Times New Roman"/>
                <w:bCs/>
                <w:sz w:val="24"/>
                <w:lang w:eastAsia="zh-CN"/>
              </w:rPr>
              <w:t>沉淀池开挖产生的少量土方，可用于厂区道路的平整，</w:t>
            </w:r>
            <w:r>
              <w:rPr>
                <w:sz w:val="24"/>
              </w:rPr>
              <w:t>不会产生弃土外运。</w:t>
            </w:r>
          </w:p>
          <w:p>
            <w:pPr>
              <w:spacing w:line="520" w:lineRule="exact"/>
              <w:rPr>
                <w:rFonts w:eastAsia="黑体"/>
                <w:sz w:val="24"/>
              </w:rPr>
            </w:pPr>
            <w:r>
              <w:rPr>
                <w:rFonts w:eastAsia="黑体"/>
                <w:sz w:val="24"/>
              </w:rPr>
              <w:t>运营期污染因素分析</w:t>
            </w:r>
          </w:p>
          <w:p>
            <w:pPr>
              <w:spacing w:line="520" w:lineRule="exact"/>
              <w:ind w:firstLine="482"/>
              <w:rPr>
                <w:rFonts w:eastAsia="黑体"/>
                <w:sz w:val="24"/>
              </w:rPr>
            </w:pPr>
            <w:r>
              <w:rPr>
                <w:rFonts w:eastAsia="黑体"/>
                <w:sz w:val="24"/>
              </w:rPr>
              <w:t>2.1污染源识别</w:t>
            </w:r>
          </w:p>
          <w:p>
            <w:pPr>
              <w:adjustRightInd w:val="0"/>
              <w:spacing w:line="520" w:lineRule="exact"/>
              <w:ind w:firstLine="480" w:firstLineChars="200"/>
              <w:rPr>
                <w:bCs/>
                <w:kern w:val="0"/>
                <w:sz w:val="24"/>
              </w:rPr>
            </w:pPr>
            <w:r>
              <w:rPr>
                <w:bCs/>
                <w:kern w:val="0"/>
                <w:sz w:val="24"/>
              </w:rPr>
              <w:t>运营期主要污染类型及来源一览表见</w:t>
            </w:r>
            <w:r>
              <w:rPr>
                <w:rFonts w:hint="eastAsia"/>
                <w:bCs/>
                <w:kern w:val="0"/>
                <w:sz w:val="24"/>
              </w:rPr>
              <w:t>下</w:t>
            </w:r>
            <w:r>
              <w:rPr>
                <w:bCs/>
                <w:kern w:val="0"/>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19</w:t>
            </w:r>
            <w:r>
              <w:rPr>
                <w:rFonts w:eastAsia="黑体"/>
                <w:kern w:val="0"/>
                <w:sz w:val="24"/>
                <w:lang w:val="zh-CN"/>
              </w:rPr>
              <w:t xml:space="preserve">          项目运营期污染物类型及其产生来源一览表</w:t>
            </w:r>
          </w:p>
          <w:tbl>
            <w:tblPr>
              <w:tblStyle w:val="32"/>
              <w:tblW w:w="868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3063"/>
              <w:gridCol w:w="2525"/>
              <w:gridCol w:w="23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noWrap/>
                  <w:vAlign w:val="center"/>
                </w:tcPr>
                <w:p>
                  <w:pPr>
                    <w:adjustRightInd w:val="0"/>
                    <w:snapToGrid w:val="0"/>
                    <w:jc w:val="center"/>
                    <w:rPr>
                      <w:bCs/>
                      <w:szCs w:val="21"/>
                    </w:rPr>
                  </w:pPr>
                  <w:r>
                    <w:rPr>
                      <w:bCs/>
                      <w:szCs w:val="21"/>
                    </w:rPr>
                    <w:t>污染类型</w:t>
                  </w:r>
                </w:p>
              </w:tc>
              <w:tc>
                <w:tcPr>
                  <w:tcW w:w="3063" w:type="dxa"/>
                  <w:noWrap/>
                  <w:vAlign w:val="center"/>
                </w:tcPr>
                <w:p>
                  <w:pPr>
                    <w:adjustRightInd w:val="0"/>
                    <w:snapToGrid w:val="0"/>
                    <w:jc w:val="center"/>
                    <w:rPr>
                      <w:bCs/>
                      <w:szCs w:val="21"/>
                    </w:rPr>
                  </w:pPr>
                  <w:r>
                    <w:rPr>
                      <w:bCs/>
                      <w:szCs w:val="21"/>
                    </w:rPr>
                    <w:t>产污环节</w:t>
                  </w:r>
                </w:p>
              </w:tc>
              <w:tc>
                <w:tcPr>
                  <w:tcW w:w="2525" w:type="dxa"/>
                  <w:noWrap/>
                  <w:vAlign w:val="center"/>
                </w:tcPr>
                <w:p>
                  <w:pPr>
                    <w:spacing w:line="360" w:lineRule="exact"/>
                    <w:jc w:val="center"/>
                    <w:rPr>
                      <w:bCs/>
                      <w:szCs w:val="21"/>
                    </w:rPr>
                  </w:pPr>
                  <w:r>
                    <w:rPr>
                      <w:szCs w:val="21"/>
                    </w:rPr>
                    <w:t>污染物类型</w:t>
                  </w:r>
                </w:p>
              </w:tc>
              <w:tc>
                <w:tcPr>
                  <w:tcW w:w="2363" w:type="dxa"/>
                  <w:noWrap/>
                  <w:vAlign w:val="center"/>
                </w:tcPr>
                <w:p>
                  <w:pPr>
                    <w:spacing w:line="360" w:lineRule="exact"/>
                    <w:jc w:val="center"/>
                    <w:rPr>
                      <w:bCs/>
                      <w:szCs w:val="21"/>
                    </w:rPr>
                  </w:pPr>
                  <w:r>
                    <w:rPr>
                      <w:szCs w:val="21"/>
                    </w:rPr>
                    <w:t>污染因子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noWrap/>
                  <w:vAlign w:val="center"/>
                </w:tcPr>
                <w:p>
                  <w:pPr>
                    <w:adjustRightInd w:val="0"/>
                    <w:snapToGrid w:val="0"/>
                    <w:jc w:val="center"/>
                    <w:rPr>
                      <w:bCs/>
                      <w:szCs w:val="21"/>
                    </w:rPr>
                  </w:pPr>
                  <w:r>
                    <w:rPr>
                      <w:bCs/>
                      <w:szCs w:val="21"/>
                    </w:rPr>
                    <w:t>废气</w:t>
                  </w:r>
                </w:p>
              </w:tc>
              <w:tc>
                <w:tcPr>
                  <w:tcW w:w="3063" w:type="dxa"/>
                  <w:noWrap/>
                  <w:vAlign w:val="center"/>
                </w:tcPr>
                <w:p>
                  <w:pPr>
                    <w:adjustRightInd w:val="0"/>
                    <w:snapToGrid w:val="0"/>
                    <w:jc w:val="center"/>
                    <w:rPr>
                      <w:bCs/>
                      <w:szCs w:val="21"/>
                    </w:rPr>
                  </w:pPr>
                  <w:r>
                    <w:rPr>
                      <w:bCs/>
                      <w:szCs w:val="21"/>
                    </w:rPr>
                    <w:t>骨料装卸</w:t>
                  </w:r>
                </w:p>
              </w:tc>
              <w:tc>
                <w:tcPr>
                  <w:tcW w:w="2525" w:type="dxa"/>
                  <w:noWrap/>
                  <w:vAlign w:val="center"/>
                </w:tcPr>
                <w:p>
                  <w:pPr>
                    <w:adjustRightInd w:val="0"/>
                    <w:snapToGrid w:val="0"/>
                    <w:jc w:val="center"/>
                    <w:rPr>
                      <w:bCs/>
                      <w:szCs w:val="21"/>
                    </w:rPr>
                  </w:pPr>
                  <w:r>
                    <w:rPr>
                      <w:bCs/>
                      <w:szCs w:val="21"/>
                    </w:rPr>
                    <w:t>颗粒物</w:t>
                  </w:r>
                </w:p>
              </w:tc>
              <w:tc>
                <w:tcPr>
                  <w:tcW w:w="2363" w:type="dxa"/>
                  <w:noWrap/>
                  <w:vAlign w:val="center"/>
                </w:tcPr>
                <w:p>
                  <w:pPr>
                    <w:adjustRightInd w:val="0"/>
                    <w:snapToGrid w:val="0"/>
                    <w:jc w:val="center"/>
                    <w:rPr>
                      <w:bCs/>
                      <w:szCs w:val="21"/>
                    </w:rPr>
                  </w:pPr>
                  <w:r>
                    <w:rPr>
                      <w:bCs/>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color w:val="auto"/>
                      <w:szCs w:val="21"/>
                    </w:rPr>
                  </w:pPr>
                  <w:r>
                    <w:rPr>
                      <w:bCs/>
                      <w:color w:val="auto"/>
                      <w:szCs w:val="21"/>
                    </w:rPr>
                    <w:t>水泥</w:t>
                  </w:r>
                  <w:r>
                    <w:rPr>
                      <w:rFonts w:hint="eastAsia"/>
                      <w:bCs/>
                      <w:color w:val="auto"/>
                      <w:szCs w:val="21"/>
                    </w:rPr>
                    <w:t>罐</w:t>
                  </w:r>
                  <w:r>
                    <w:rPr>
                      <w:rFonts w:hint="eastAsia"/>
                      <w:bCs/>
                      <w:color w:val="auto"/>
                      <w:szCs w:val="21"/>
                      <w:lang w:eastAsia="zh-CN"/>
                    </w:rPr>
                    <w:t>及粉煤灰罐</w:t>
                  </w:r>
                  <w:r>
                    <w:rPr>
                      <w:bCs/>
                      <w:color w:val="auto"/>
                      <w:szCs w:val="21"/>
                    </w:rPr>
                    <w:t>进料</w:t>
                  </w:r>
                </w:p>
              </w:tc>
              <w:tc>
                <w:tcPr>
                  <w:tcW w:w="2525" w:type="dxa"/>
                  <w:noWrap/>
                  <w:vAlign w:val="center"/>
                </w:tcPr>
                <w:p>
                  <w:pPr>
                    <w:adjustRightInd w:val="0"/>
                    <w:snapToGrid w:val="0"/>
                    <w:jc w:val="center"/>
                    <w:rPr>
                      <w:bCs/>
                      <w:color w:val="auto"/>
                      <w:szCs w:val="21"/>
                    </w:rPr>
                  </w:pPr>
                  <w:r>
                    <w:rPr>
                      <w:bCs/>
                      <w:szCs w:val="21"/>
                    </w:rPr>
                    <w:t>颗粒物</w:t>
                  </w:r>
                </w:p>
              </w:tc>
              <w:tc>
                <w:tcPr>
                  <w:tcW w:w="2363" w:type="dxa"/>
                  <w:noWrap/>
                  <w:vAlign w:val="center"/>
                </w:tcPr>
                <w:p>
                  <w:pPr>
                    <w:adjustRightInd w:val="0"/>
                    <w:snapToGrid w:val="0"/>
                    <w:jc w:val="center"/>
                    <w:rPr>
                      <w:bCs/>
                      <w:color w:val="auto"/>
                      <w:szCs w:val="21"/>
                    </w:rPr>
                  </w:pPr>
                  <w:r>
                    <w:rPr>
                      <w:bCs/>
                      <w:color w:val="auto"/>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color w:val="auto"/>
                      <w:szCs w:val="21"/>
                    </w:rPr>
                  </w:pPr>
                  <w:r>
                    <w:rPr>
                      <w:rFonts w:hint="eastAsia"/>
                      <w:bCs/>
                      <w:color w:val="auto"/>
                      <w:szCs w:val="21"/>
                      <w:lang w:eastAsia="zh-CN"/>
                    </w:rPr>
                    <w:t>输送、投料</w:t>
                  </w:r>
                  <w:r>
                    <w:rPr>
                      <w:bCs/>
                      <w:color w:val="auto"/>
                      <w:szCs w:val="21"/>
                    </w:rPr>
                    <w:t>及搅拌</w:t>
                  </w:r>
                </w:p>
              </w:tc>
              <w:tc>
                <w:tcPr>
                  <w:tcW w:w="2525" w:type="dxa"/>
                  <w:noWrap/>
                  <w:vAlign w:val="center"/>
                </w:tcPr>
                <w:p>
                  <w:pPr>
                    <w:adjustRightInd w:val="0"/>
                    <w:snapToGrid w:val="0"/>
                    <w:jc w:val="center"/>
                    <w:rPr>
                      <w:bCs/>
                      <w:color w:val="auto"/>
                      <w:szCs w:val="21"/>
                    </w:rPr>
                  </w:pPr>
                  <w:r>
                    <w:rPr>
                      <w:bCs/>
                      <w:szCs w:val="21"/>
                    </w:rPr>
                    <w:t>颗粒物</w:t>
                  </w:r>
                </w:p>
              </w:tc>
              <w:tc>
                <w:tcPr>
                  <w:tcW w:w="2363" w:type="dxa"/>
                  <w:noWrap/>
                  <w:vAlign w:val="center"/>
                </w:tcPr>
                <w:p>
                  <w:pPr>
                    <w:adjustRightInd w:val="0"/>
                    <w:snapToGrid w:val="0"/>
                    <w:jc w:val="center"/>
                    <w:rPr>
                      <w:bCs/>
                      <w:color w:val="auto"/>
                      <w:szCs w:val="21"/>
                    </w:rPr>
                  </w:pPr>
                  <w:r>
                    <w:rPr>
                      <w:bCs/>
                      <w:color w:val="auto"/>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车辆运输</w:t>
                  </w:r>
                </w:p>
              </w:tc>
              <w:tc>
                <w:tcPr>
                  <w:tcW w:w="2525" w:type="dxa"/>
                  <w:noWrap/>
                  <w:vAlign w:val="center"/>
                </w:tcPr>
                <w:p>
                  <w:pPr>
                    <w:adjustRightInd w:val="0"/>
                    <w:snapToGrid w:val="0"/>
                    <w:jc w:val="center"/>
                    <w:rPr>
                      <w:bCs/>
                      <w:szCs w:val="21"/>
                    </w:rPr>
                  </w:pPr>
                  <w:r>
                    <w:rPr>
                      <w:bCs/>
                      <w:szCs w:val="21"/>
                    </w:rPr>
                    <w:t>道路扬尘</w:t>
                  </w:r>
                </w:p>
              </w:tc>
              <w:tc>
                <w:tcPr>
                  <w:tcW w:w="2363" w:type="dxa"/>
                  <w:noWrap/>
                  <w:vAlign w:val="center"/>
                </w:tcPr>
                <w:p>
                  <w:pPr>
                    <w:adjustRightInd w:val="0"/>
                    <w:snapToGrid w:val="0"/>
                    <w:jc w:val="center"/>
                    <w:rPr>
                      <w:bCs/>
                      <w:szCs w:val="21"/>
                    </w:rPr>
                  </w:pPr>
                  <w:r>
                    <w:rPr>
                      <w:bCs/>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noWrap/>
                  <w:vAlign w:val="center"/>
                </w:tcPr>
                <w:p>
                  <w:pPr>
                    <w:adjustRightInd w:val="0"/>
                    <w:snapToGrid w:val="0"/>
                    <w:jc w:val="center"/>
                    <w:rPr>
                      <w:bCs/>
                      <w:szCs w:val="21"/>
                    </w:rPr>
                  </w:pPr>
                  <w:r>
                    <w:rPr>
                      <w:bCs/>
                      <w:szCs w:val="21"/>
                    </w:rPr>
                    <w:t>废水</w:t>
                  </w:r>
                </w:p>
              </w:tc>
              <w:tc>
                <w:tcPr>
                  <w:tcW w:w="3063" w:type="dxa"/>
                  <w:noWrap/>
                  <w:vAlign w:val="center"/>
                </w:tcPr>
                <w:p>
                  <w:pPr>
                    <w:adjustRightInd w:val="0"/>
                    <w:snapToGrid w:val="0"/>
                    <w:jc w:val="center"/>
                    <w:rPr>
                      <w:bCs/>
                      <w:szCs w:val="21"/>
                    </w:rPr>
                  </w:pPr>
                  <w:r>
                    <w:rPr>
                      <w:szCs w:val="21"/>
                    </w:rPr>
                    <w:t>原料运输车冲洗</w:t>
                  </w:r>
                </w:p>
              </w:tc>
              <w:tc>
                <w:tcPr>
                  <w:tcW w:w="2525" w:type="dxa"/>
                  <w:noWrap/>
                  <w:vAlign w:val="center"/>
                </w:tcPr>
                <w:p>
                  <w:pPr>
                    <w:adjustRightInd w:val="0"/>
                    <w:snapToGrid w:val="0"/>
                    <w:jc w:val="center"/>
                    <w:rPr>
                      <w:bCs/>
                      <w:szCs w:val="21"/>
                    </w:rPr>
                  </w:pPr>
                  <w:r>
                    <w:rPr>
                      <w:bCs/>
                      <w:szCs w:val="21"/>
                    </w:rPr>
                    <w:t>冲洗废水</w:t>
                  </w:r>
                </w:p>
              </w:tc>
              <w:tc>
                <w:tcPr>
                  <w:tcW w:w="2363" w:type="dxa"/>
                  <w:noWrap/>
                  <w:vAlign w:val="center"/>
                </w:tcPr>
                <w:p>
                  <w:pPr>
                    <w:adjustRightInd w:val="0"/>
                    <w:snapToGrid w:val="0"/>
                    <w:jc w:val="center"/>
                    <w:rPr>
                      <w:b/>
                      <w:bCs/>
                      <w:i/>
                      <w:szCs w:val="21"/>
                      <w:u w:val="single"/>
                    </w:rPr>
                  </w:pPr>
                  <w:r>
                    <w:rPr>
                      <w:iCs/>
                      <w:szCs w:val="21"/>
                    </w:rPr>
                    <w:t>COD、SS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职工生活</w:t>
                  </w:r>
                </w:p>
              </w:tc>
              <w:tc>
                <w:tcPr>
                  <w:tcW w:w="2525" w:type="dxa"/>
                  <w:noWrap/>
                  <w:vAlign w:val="center"/>
                </w:tcPr>
                <w:p>
                  <w:pPr>
                    <w:adjustRightInd w:val="0"/>
                    <w:snapToGrid w:val="0"/>
                    <w:jc w:val="center"/>
                    <w:rPr>
                      <w:bCs/>
                      <w:szCs w:val="21"/>
                      <w:highlight w:val="yellow"/>
                    </w:rPr>
                  </w:pPr>
                  <w:r>
                    <w:rPr>
                      <w:bCs/>
                      <w:szCs w:val="21"/>
                    </w:rPr>
                    <w:t>生活污水</w:t>
                  </w:r>
                </w:p>
              </w:tc>
              <w:tc>
                <w:tcPr>
                  <w:tcW w:w="2363" w:type="dxa"/>
                  <w:noWrap/>
                  <w:vAlign w:val="center"/>
                </w:tcPr>
                <w:p>
                  <w:pPr>
                    <w:adjustRightInd w:val="0"/>
                    <w:snapToGrid w:val="0"/>
                    <w:jc w:val="center"/>
                    <w:rPr>
                      <w:b/>
                      <w:bCs/>
                      <w:i/>
                      <w:szCs w:val="21"/>
                      <w:u w:val="single"/>
                    </w:rPr>
                  </w:pPr>
                  <w:r>
                    <w:rPr>
                      <w:szCs w:val="21"/>
                    </w:rPr>
                    <w:t>COD、BOD</w:t>
                  </w:r>
                  <w:r>
                    <w:rPr>
                      <w:szCs w:val="21"/>
                      <w:vertAlign w:val="subscript"/>
                    </w:rPr>
                    <w:t>5</w:t>
                  </w:r>
                  <w:r>
                    <w:rPr>
                      <w:szCs w:val="21"/>
                    </w:rPr>
                    <w:t>、NH</w:t>
                  </w:r>
                  <w:r>
                    <w:rPr>
                      <w:szCs w:val="21"/>
                      <w:vertAlign w:val="subscript"/>
                    </w:rPr>
                    <w:t>3</w:t>
                  </w:r>
                  <w:r>
                    <w:rPr>
                      <w:szCs w:val="21"/>
                    </w:rPr>
                    <w:t>-N等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noWrap/>
                  <w:vAlign w:val="center"/>
                </w:tcPr>
                <w:p>
                  <w:pPr>
                    <w:adjustRightInd w:val="0"/>
                    <w:snapToGrid w:val="0"/>
                    <w:jc w:val="center"/>
                    <w:rPr>
                      <w:bCs/>
                      <w:szCs w:val="21"/>
                    </w:rPr>
                  </w:pPr>
                  <w:r>
                    <w:rPr>
                      <w:bCs/>
                      <w:szCs w:val="21"/>
                    </w:rPr>
                    <w:t>噪声</w:t>
                  </w:r>
                </w:p>
              </w:tc>
              <w:tc>
                <w:tcPr>
                  <w:tcW w:w="3063" w:type="dxa"/>
                  <w:noWrap/>
                  <w:vAlign w:val="center"/>
                </w:tcPr>
                <w:p>
                  <w:pPr>
                    <w:adjustRightInd w:val="0"/>
                    <w:snapToGrid w:val="0"/>
                    <w:jc w:val="center"/>
                    <w:rPr>
                      <w:bCs/>
                      <w:szCs w:val="21"/>
                    </w:rPr>
                  </w:pPr>
                  <w:r>
                    <w:rPr>
                      <w:bCs/>
                      <w:szCs w:val="21"/>
                    </w:rPr>
                    <w:t>搅拌机、水泵、挤压机等设备运行</w:t>
                  </w:r>
                </w:p>
              </w:tc>
              <w:tc>
                <w:tcPr>
                  <w:tcW w:w="2525" w:type="dxa"/>
                  <w:noWrap/>
                  <w:vAlign w:val="center"/>
                </w:tcPr>
                <w:p>
                  <w:pPr>
                    <w:adjustRightInd w:val="0"/>
                    <w:snapToGrid w:val="0"/>
                    <w:jc w:val="center"/>
                    <w:rPr>
                      <w:bCs/>
                      <w:szCs w:val="21"/>
                    </w:rPr>
                  </w:pPr>
                  <w:r>
                    <w:rPr>
                      <w:bCs/>
                      <w:szCs w:val="21"/>
                    </w:rPr>
                    <w:t>噪声</w:t>
                  </w:r>
                </w:p>
              </w:tc>
              <w:tc>
                <w:tcPr>
                  <w:tcW w:w="2363" w:type="dxa"/>
                  <w:noWrap/>
                  <w:vAlign w:val="center"/>
                </w:tcPr>
                <w:p>
                  <w:pPr>
                    <w:adjustRightInd w:val="0"/>
                    <w:snapToGrid w:val="0"/>
                    <w:jc w:val="center"/>
                    <w:rPr>
                      <w:bCs/>
                      <w:spacing w:val="8"/>
                      <w:szCs w:val="21"/>
                    </w:rPr>
                  </w:pPr>
                  <w:r>
                    <w:rPr>
                      <w:bCs/>
                      <w:szCs w:val="21"/>
                    </w:rPr>
                    <w:t>噪声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noWrap/>
                  <w:vAlign w:val="center"/>
                </w:tcPr>
                <w:p>
                  <w:pPr>
                    <w:adjustRightInd w:val="0"/>
                    <w:snapToGrid w:val="0"/>
                    <w:jc w:val="center"/>
                    <w:rPr>
                      <w:bCs/>
                      <w:szCs w:val="21"/>
                    </w:rPr>
                  </w:pPr>
                  <w:r>
                    <w:rPr>
                      <w:bCs/>
                      <w:szCs w:val="21"/>
                    </w:rPr>
                    <w:t>固废</w:t>
                  </w:r>
                </w:p>
              </w:tc>
              <w:tc>
                <w:tcPr>
                  <w:tcW w:w="3063" w:type="dxa"/>
                  <w:noWrap/>
                  <w:vAlign w:val="center"/>
                </w:tcPr>
                <w:p>
                  <w:pPr>
                    <w:adjustRightInd w:val="0"/>
                    <w:snapToGrid w:val="0"/>
                    <w:jc w:val="center"/>
                    <w:rPr>
                      <w:bCs/>
                      <w:szCs w:val="21"/>
                    </w:rPr>
                  </w:pPr>
                  <w:r>
                    <w:rPr>
                      <w:bCs/>
                      <w:szCs w:val="21"/>
                    </w:rPr>
                    <w:t>除尘器集尘</w:t>
                  </w:r>
                </w:p>
              </w:tc>
              <w:tc>
                <w:tcPr>
                  <w:tcW w:w="2525" w:type="dxa"/>
                  <w:noWrap/>
                  <w:vAlign w:val="center"/>
                </w:tcPr>
                <w:p>
                  <w:pPr>
                    <w:adjustRightInd w:val="0"/>
                    <w:snapToGrid w:val="0"/>
                    <w:jc w:val="center"/>
                    <w:rPr>
                      <w:bCs/>
                      <w:szCs w:val="21"/>
                    </w:rPr>
                  </w:pPr>
                  <w:r>
                    <w:rPr>
                      <w:bCs/>
                      <w:szCs w:val="21"/>
                    </w:rPr>
                    <w:t>颗粒物</w:t>
                  </w:r>
                </w:p>
              </w:tc>
              <w:tc>
                <w:tcPr>
                  <w:tcW w:w="2363" w:type="dxa"/>
                  <w:noWrap/>
                  <w:vAlign w:val="center"/>
                </w:tcPr>
                <w:p>
                  <w:pPr>
                    <w:adjustRightInd w:val="0"/>
                    <w:snapToGrid w:val="0"/>
                    <w:jc w:val="center"/>
                    <w:rPr>
                      <w:bCs/>
                      <w:spacing w:val="8"/>
                      <w:szCs w:val="21"/>
                    </w:rPr>
                  </w:pPr>
                  <w:r>
                    <w:rPr>
                      <w:bCs/>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生产线</w:t>
                  </w:r>
                </w:p>
              </w:tc>
              <w:tc>
                <w:tcPr>
                  <w:tcW w:w="2525" w:type="dxa"/>
                  <w:noWrap/>
                  <w:vAlign w:val="center"/>
                </w:tcPr>
                <w:p>
                  <w:pPr>
                    <w:adjustRightInd w:val="0"/>
                    <w:snapToGrid w:val="0"/>
                    <w:jc w:val="center"/>
                    <w:rPr>
                      <w:bCs/>
                      <w:szCs w:val="21"/>
                    </w:rPr>
                  </w:pPr>
                  <w:r>
                    <w:rPr>
                      <w:bCs/>
                      <w:szCs w:val="21"/>
                    </w:rPr>
                    <w:t>不合格产品</w:t>
                  </w:r>
                </w:p>
              </w:tc>
              <w:tc>
                <w:tcPr>
                  <w:tcW w:w="2363" w:type="dxa"/>
                  <w:noWrap/>
                  <w:vAlign w:val="center"/>
                </w:tcPr>
                <w:p>
                  <w:pPr>
                    <w:adjustRightInd w:val="0"/>
                    <w:snapToGrid w:val="0"/>
                    <w:jc w:val="center"/>
                    <w:rPr>
                      <w:bCs/>
                      <w:szCs w:val="21"/>
                    </w:rPr>
                  </w:pPr>
                  <w:r>
                    <w:rPr>
                      <w:bCs/>
                      <w:szCs w:val="21"/>
                    </w:rPr>
                    <w:t>湿坯、干坯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沉淀池</w:t>
                  </w:r>
                </w:p>
              </w:tc>
              <w:tc>
                <w:tcPr>
                  <w:tcW w:w="2525" w:type="dxa"/>
                  <w:noWrap/>
                  <w:vAlign w:val="center"/>
                </w:tcPr>
                <w:p>
                  <w:pPr>
                    <w:adjustRightInd w:val="0"/>
                    <w:snapToGrid w:val="0"/>
                    <w:jc w:val="center"/>
                    <w:rPr>
                      <w:bCs/>
                      <w:szCs w:val="21"/>
                    </w:rPr>
                  </w:pPr>
                  <w:r>
                    <w:rPr>
                      <w:bCs/>
                      <w:szCs w:val="21"/>
                    </w:rPr>
                    <w:t>沉渣</w:t>
                  </w:r>
                </w:p>
              </w:tc>
              <w:tc>
                <w:tcPr>
                  <w:tcW w:w="2363" w:type="dxa"/>
                  <w:noWrap/>
                  <w:vAlign w:val="center"/>
                </w:tcPr>
                <w:p>
                  <w:pPr>
                    <w:adjustRightInd w:val="0"/>
                    <w:snapToGrid w:val="0"/>
                    <w:jc w:val="center"/>
                    <w:rPr>
                      <w:bCs/>
                      <w:spacing w:val="8"/>
                      <w:szCs w:val="21"/>
                    </w:rPr>
                  </w:pPr>
                  <w:r>
                    <w:rPr>
                      <w:b/>
                      <w:bCs/>
                      <w:i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职工生活</w:t>
                  </w:r>
                </w:p>
              </w:tc>
              <w:tc>
                <w:tcPr>
                  <w:tcW w:w="2525" w:type="dxa"/>
                  <w:noWrap/>
                  <w:vAlign w:val="center"/>
                </w:tcPr>
                <w:p>
                  <w:pPr>
                    <w:adjustRightInd w:val="0"/>
                    <w:snapToGrid w:val="0"/>
                    <w:jc w:val="center"/>
                    <w:rPr>
                      <w:bCs/>
                      <w:szCs w:val="21"/>
                    </w:rPr>
                  </w:pPr>
                  <w:r>
                    <w:rPr>
                      <w:bCs/>
                      <w:szCs w:val="21"/>
                    </w:rPr>
                    <w:t>生活垃圾</w:t>
                  </w:r>
                </w:p>
              </w:tc>
              <w:tc>
                <w:tcPr>
                  <w:tcW w:w="2363" w:type="dxa"/>
                  <w:noWrap/>
                  <w:vAlign w:val="center"/>
                </w:tcPr>
                <w:p>
                  <w:pPr>
                    <w:adjustRightInd w:val="0"/>
                    <w:snapToGrid w:val="0"/>
                    <w:jc w:val="center"/>
                    <w:rPr>
                      <w:bCs/>
                      <w:spacing w:val="8"/>
                      <w:szCs w:val="21"/>
                    </w:rPr>
                  </w:pPr>
                  <w:r>
                    <w:rPr>
                      <w:bCs/>
                      <w:spacing w:val="8"/>
                      <w:szCs w:val="21"/>
                    </w:rPr>
                    <w:t>/</w:t>
                  </w:r>
                </w:p>
              </w:tc>
            </w:tr>
          </w:tbl>
          <w:p>
            <w:pPr>
              <w:spacing w:line="520" w:lineRule="exact"/>
              <w:ind w:firstLine="480"/>
              <w:rPr>
                <w:rFonts w:eastAsia="黑体"/>
                <w:sz w:val="24"/>
              </w:rPr>
            </w:pPr>
            <w:r>
              <w:rPr>
                <w:rFonts w:eastAsia="黑体"/>
                <w:sz w:val="24"/>
              </w:rPr>
              <w:t>2.2运营期污染因素分析</w:t>
            </w:r>
          </w:p>
          <w:p>
            <w:pPr>
              <w:spacing w:line="460" w:lineRule="exact"/>
              <w:ind w:firstLine="465"/>
              <w:rPr>
                <w:rFonts w:eastAsia="黑体"/>
                <w:sz w:val="24"/>
              </w:rPr>
            </w:pPr>
            <w:r>
              <w:rPr>
                <w:rFonts w:eastAsia="黑体"/>
                <w:sz w:val="24"/>
              </w:rPr>
              <w:t>2.2.1废气</w:t>
            </w:r>
          </w:p>
          <w:p>
            <w:pPr>
              <w:spacing w:line="520" w:lineRule="exact"/>
              <w:ind w:firstLine="482"/>
              <w:rPr>
                <w:sz w:val="24"/>
              </w:rPr>
            </w:pPr>
            <w:r>
              <w:rPr>
                <w:sz w:val="24"/>
              </w:rPr>
              <w:t>本项目水泥</w:t>
            </w:r>
            <w:r>
              <w:rPr>
                <w:rFonts w:hint="eastAsia"/>
                <w:sz w:val="24"/>
                <w:lang w:eastAsia="zh-CN"/>
              </w:rPr>
              <w:t>、粉煤灰</w:t>
            </w:r>
            <w:r>
              <w:rPr>
                <w:sz w:val="24"/>
              </w:rPr>
              <w:t>采用储罐储存，储存过程不产生</w:t>
            </w:r>
            <w:r>
              <w:rPr>
                <w:rFonts w:hint="eastAsia"/>
                <w:sz w:val="24"/>
                <w:lang w:eastAsia="zh-CN"/>
              </w:rPr>
              <w:t>颗粒物</w:t>
            </w:r>
            <w:r>
              <w:rPr>
                <w:sz w:val="24"/>
              </w:rPr>
              <w:t>；沙子和石沫全部储存于封闭原料仓库内，原料仓库分为两个区域，每个区域设置独立的实心墙围挡和进出口；厂区不设置露天堆场，不露天堆放原料。评价要求原料仓库设置自动</w:t>
            </w:r>
            <w:r>
              <w:rPr>
                <w:rFonts w:hint="eastAsia"/>
                <w:sz w:val="24"/>
                <w:lang w:eastAsia="zh-CN"/>
              </w:rPr>
              <w:t>喷干雾装置</w:t>
            </w:r>
            <w:r>
              <w:rPr>
                <w:sz w:val="24"/>
              </w:rPr>
              <w:t>，喷淋面积达到100%，同时减小物料装卸落差，在物料装卸点安装雾状喷淋洒水装置，以减小</w:t>
            </w:r>
            <w:r>
              <w:rPr>
                <w:rFonts w:hint="eastAsia"/>
                <w:sz w:val="24"/>
                <w:lang w:eastAsia="zh-CN"/>
              </w:rPr>
              <w:t>颗粒物</w:t>
            </w:r>
            <w:r>
              <w:rPr>
                <w:sz w:val="24"/>
              </w:rPr>
              <w:t>的产生量，降低对周围环境的影响。</w:t>
            </w:r>
          </w:p>
          <w:p>
            <w:pPr>
              <w:spacing w:line="520" w:lineRule="exact"/>
              <w:ind w:firstLine="458" w:firstLineChars="200"/>
              <w:rPr>
                <w:b/>
                <w:bCs/>
                <w:spacing w:val="-6"/>
                <w:sz w:val="24"/>
                <w:u w:val="single"/>
              </w:rPr>
            </w:pPr>
            <w:r>
              <w:rPr>
                <w:rFonts w:hint="eastAsia"/>
                <w:b/>
                <w:bCs/>
                <w:spacing w:val="-6"/>
                <w:sz w:val="24"/>
                <w:u w:val="single"/>
              </w:rPr>
              <w:t>本项目粉料以密闭传送带的方式进入物料合料斗计量，称料后由密闭传送带投料进入搅拌机。项目粉料的输送、计量均为封闭式，因此，该过程产生的</w:t>
            </w:r>
            <w:r>
              <w:rPr>
                <w:rFonts w:hint="eastAsia"/>
                <w:b/>
                <w:bCs/>
                <w:spacing w:val="-6"/>
                <w:sz w:val="24"/>
                <w:u w:val="single"/>
                <w:lang w:eastAsia="zh-CN"/>
              </w:rPr>
              <w:t>颗粒物</w:t>
            </w:r>
            <w:r>
              <w:rPr>
                <w:rFonts w:hint="eastAsia"/>
                <w:b/>
                <w:bCs/>
                <w:spacing w:val="-6"/>
                <w:sz w:val="24"/>
                <w:u w:val="single"/>
              </w:rPr>
              <w:t>量不大，且在停机后沉降下来，回收后用于生产，此</w:t>
            </w:r>
            <w:r>
              <w:rPr>
                <w:rFonts w:hint="eastAsia"/>
                <w:b/>
                <w:bCs/>
                <w:spacing w:val="-6"/>
                <w:sz w:val="24"/>
                <w:u w:val="single"/>
                <w:lang w:eastAsia="zh-CN"/>
              </w:rPr>
              <w:t>颗粒物</w:t>
            </w:r>
            <w:r>
              <w:rPr>
                <w:rFonts w:hint="eastAsia"/>
                <w:b/>
                <w:bCs/>
                <w:spacing w:val="-6"/>
                <w:sz w:val="24"/>
                <w:u w:val="single"/>
              </w:rPr>
              <w:t>对外环境影响较小</w:t>
            </w:r>
            <w:r>
              <w:rPr>
                <w:rFonts w:hint="eastAsia"/>
                <w:b/>
                <w:bCs/>
                <w:spacing w:val="-6"/>
                <w:sz w:val="24"/>
                <w:u w:val="single"/>
                <w:lang w:eastAsia="zh-CN"/>
              </w:rPr>
              <w:t>。</w:t>
            </w:r>
            <w:r>
              <w:rPr>
                <w:rFonts w:hint="eastAsia"/>
                <w:b/>
                <w:bCs/>
                <w:sz w:val="24"/>
                <w:u w:val="single"/>
              </w:rPr>
              <w:t>项目砂子、石</w:t>
            </w:r>
            <w:r>
              <w:rPr>
                <w:rFonts w:hint="eastAsia"/>
                <w:b/>
                <w:bCs/>
                <w:sz w:val="24"/>
                <w:u w:val="single"/>
                <w:lang w:eastAsia="zh-CN"/>
              </w:rPr>
              <w:t>沫</w:t>
            </w:r>
            <w:r>
              <w:rPr>
                <w:rFonts w:hint="eastAsia"/>
                <w:b/>
                <w:bCs/>
                <w:sz w:val="24"/>
                <w:u w:val="single"/>
              </w:rPr>
              <w:t>堆场为封闭式原料仓库，入口设置推拉门供运输车辆出入，原料堆存过程中基本不会产生</w:t>
            </w:r>
            <w:r>
              <w:rPr>
                <w:rFonts w:hint="eastAsia"/>
                <w:b/>
                <w:bCs/>
                <w:sz w:val="24"/>
                <w:u w:val="single"/>
                <w:lang w:eastAsia="zh-CN"/>
              </w:rPr>
              <w:t>颗粒物。搅拌过程由于加入的有水，因此，搅拌均匀后不会有颗粒物产生。项目产生的颗粒物</w:t>
            </w:r>
            <w:r>
              <w:rPr>
                <w:rFonts w:hint="eastAsia"/>
                <w:b/>
                <w:bCs/>
                <w:sz w:val="24"/>
                <w:u w:val="single"/>
              </w:rPr>
              <w:t>主要是骨料（</w:t>
            </w:r>
            <w:r>
              <w:rPr>
                <w:rFonts w:hint="eastAsia"/>
                <w:b/>
                <w:bCs/>
                <w:sz w:val="24"/>
                <w:u w:val="single"/>
                <w:lang w:eastAsia="zh-CN"/>
              </w:rPr>
              <w:t>沙</w:t>
            </w:r>
            <w:r>
              <w:rPr>
                <w:rFonts w:hint="eastAsia"/>
                <w:b/>
                <w:bCs/>
                <w:sz w:val="24"/>
                <w:u w:val="single"/>
              </w:rPr>
              <w:t>子、石</w:t>
            </w:r>
            <w:r>
              <w:rPr>
                <w:rFonts w:hint="eastAsia"/>
                <w:b/>
                <w:bCs/>
                <w:sz w:val="24"/>
                <w:u w:val="single"/>
                <w:lang w:eastAsia="zh-CN"/>
              </w:rPr>
              <w:t>沫</w:t>
            </w:r>
            <w:r>
              <w:rPr>
                <w:rFonts w:hint="eastAsia"/>
                <w:b/>
                <w:bCs/>
                <w:sz w:val="24"/>
                <w:u w:val="single"/>
              </w:rPr>
              <w:t>）</w:t>
            </w:r>
            <w:r>
              <w:rPr>
                <w:rFonts w:hint="eastAsia"/>
                <w:b/>
                <w:bCs/>
                <w:sz w:val="24"/>
                <w:u w:val="single"/>
                <w:lang w:eastAsia="zh-CN"/>
              </w:rPr>
              <w:t>装卸及投入</w:t>
            </w:r>
            <w:r>
              <w:rPr>
                <w:rFonts w:hint="eastAsia"/>
                <w:b/>
                <w:bCs/>
                <w:sz w:val="24"/>
                <w:u w:val="single"/>
              </w:rPr>
              <w:t>配料斗</w:t>
            </w:r>
            <w:r>
              <w:rPr>
                <w:rFonts w:hint="eastAsia"/>
                <w:b/>
                <w:bCs/>
                <w:sz w:val="24"/>
                <w:u w:val="single"/>
                <w:lang w:eastAsia="zh-CN"/>
              </w:rPr>
              <w:t>产生的颗粒物</w:t>
            </w:r>
            <w:r>
              <w:rPr>
                <w:rFonts w:hint="eastAsia"/>
                <w:b/>
                <w:bCs/>
                <w:sz w:val="24"/>
                <w:u w:val="single"/>
              </w:rPr>
              <w:t>、骨料及粉料投入搅拌机的过程中</w:t>
            </w:r>
            <w:r>
              <w:rPr>
                <w:rFonts w:hint="eastAsia"/>
                <w:b/>
                <w:bCs/>
                <w:sz w:val="24"/>
                <w:u w:val="single"/>
                <w:lang w:eastAsia="zh-CN"/>
              </w:rPr>
              <w:t>产生的颗粒物</w:t>
            </w:r>
            <w:r>
              <w:rPr>
                <w:rFonts w:hint="eastAsia"/>
                <w:b/>
                <w:bCs/>
                <w:spacing w:val="-6"/>
                <w:sz w:val="24"/>
                <w:u w:val="single"/>
              </w:rPr>
              <w:t>。</w:t>
            </w:r>
          </w:p>
          <w:p>
            <w:pPr>
              <w:spacing w:line="520" w:lineRule="exact"/>
              <w:ind w:firstLine="480" w:firstLineChars="200"/>
              <w:textAlignment w:val="baseline"/>
              <w:rPr>
                <w:rFonts w:hint="eastAsia"/>
                <w:color w:val="auto"/>
                <w:sz w:val="24"/>
              </w:rPr>
            </w:pPr>
            <w:r>
              <w:rPr>
                <w:rFonts w:hint="eastAsia"/>
                <w:color w:val="auto"/>
                <w:sz w:val="24"/>
                <w:lang w:eastAsia="zh-CN"/>
              </w:rPr>
              <w:t>故</w:t>
            </w:r>
            <w:r>
              <w:rPr>
                <w:rFonts w:hint="eastAsia"/>
                <w:color w:val="auto"/>
                <w:sz w:val="24"/>
              </w:rPr>
              <w:t>本项目</w:t>
            </w:r>
            <w:r>
              <w:rPr>
                <w:rFonts w:hint="eastAsia"/>
                <w:color w:val="auto"/>
                <w:sz w:val="24"/>
                <w:lang w:eastAsia="zh-CN"/>
              </w:rPr>
              <w:t>运营期</w:t>
            </w:r>
            <w:r>
              <w:rPr>
                <w:rFonts w:hint="eastAsia"/>
                <w:color w:val="auto"/>
                <w:sz w:val="24"/>
              </w:rPr>
              <w:t>废气主要为罐</w:t>
            </w:r>
            <w:r>
              <w:rPr>
                <w:rFonts w:hint="eastAsia"/>
                <w:color w:val="auto"/>
                <w:sz w:val="24"/>
                <w:lang w:eastAsia="zh-CN"/>
              </w:rPr>
              <w:t>仓</w:t>
            </w:r>
            <w:r>
              <w:rPr>
                <w:rFonts w:hint="eastAsia"/>
                <w:color w:val="auto"/>
                <w:sz w:val="24"/>
              </w:rPr>
              <w:t>呼吸孔颗粒物</w:t>
            </w:r>
            <w:r>
              <w:rPr>
                <w:rFonts w:hint="eastAsia"/>
                <w:color w:val="auto"/>
                <w:sz w:val="24"/>
                <w:lang w:eastAsia="zh-CN"/>
              </w:rPr>
              <w:t>，</w:t>
            </w:r>
            <w:r>
              <w:rPr>
                <w:rFonts w:hint="eastAsia"/>
                <w:color w:val="auto"/>
                <w:sz w:val="24"/>
              </w:rPr>
              <w:t>原料装卸颗粒物</w:t>
            </w:r>
            <w:r>
              <w:rPr>
                <w:rFonts w:hint="eastAsia"/>
                <w:color w:val="auto"/>
                <w:sz w:val="24"/>
                <w:lang w:eastAsia="zh-CN"/>
              </w:rPr>
              <w:t>，物料</w:t>
            </w:r>
            <w:r>
              <w:rPr>
                <w:rFonts w:hint="eastAsia"/>
                <w:color w:val="auto"/>
                <w:sz w:val="24"/>
              </w:rPr>
              <w:t>输送、投料、搅拌颗粒物</w:t>
            </w:r>
            <w:r>
              <w:rPr>
                <w:rFonts w:hint="eastAsia"/>
                <w:color w:val="auto"/>
                <w:sz w:val="24"/>
                <w:lang w:eastAsia="zh-CN"/>
              </w:rPr>
              <w:t>、</w:t>
            </w:r>
            <w:r>
              <w:rPr>
                <w:rFonts w:hint="eastAsia"/>
                <w:color w:val="auto"/>
                <w:sz w:val="24"/>
              </w:rPr>
              <w:t>车辆运输扬尘</w:t>
            </w:r>
            <w:r>
              <w:rPr>
                <w:rFonts w:hint="eastAsia"/>
                <w:color w:val="auto"/>
                <w:sz w:val="24"/>
                <w:lang w:eastAsia="zh-CN"/>
              </w:rPr>
              <w:t>、运输车辆尾气及食堂油烟</w:t>
            </w:r>
            <w:r>
              <w:rPr>
                <w:rFonts w:hint="eastAsia"/>
                <w:color w:val="auto"/>
                <w:sz w:val="24"/>
              </w:rPr>
              <w:t>。</w:t>
            </w:r>
          </w:p>
          <w:p>
            <w:pPr>
              <w:spacing w:line="520" w:lineRule="exact"/>
              <w:ind w:firstLine="482"/>
              <w:rPr>
                <w:sz w:val="24"/>
              </w:rPr>
            </w:pPr>
            <w:r>
              <w:rPr>
                <w:sz w:val="24"/>
              </w:rPr>
              <w:t>（1）</w:t>
            </w:r>
            <w:r>
              <w:rPr>
                <w:rFonts w:hint="eastAsia"/>
                <w:color w:val="auto"/>
                <w:sz w:val="24"/>
                <w:lang w:eastAsia="zh-CN"/>
              </w:rPr>
              <w:t>罐仓</w:t>
            </w:r>
            <w:r>
              <w:rPr>
                <w:rFonts w:hint="eastAsia"/>
                <w:color w:val="auto"/>
                <w:sz w:val="24"/>
              </w:rPr>
              <w:t>呼吸孔颗粒物</w:t>
            </w:r>
          </w:p>
          <w:p>
            <w:pPr>
              <w:spacing w:line="520" w:lineRule="exact"/>
              <w:ind w:firstLine="482"/>
              <w:rPr>
                <w:sz w:val="24"/>
              </w:rPr>
            </w:pPr>
            <w:r>
              <w:rPr>
                <w:spacing w:val="-6"/>
                <w:sz w:val="24"/>
              </w:rPr>
              <w:t>本项目粉料为水泥</w:t>
            </w:r>
            <w:r>
              <w:rPr>
                <w:rFonts w:hint="eastAsia"/>
                <w:spacing w:val="-6"/>
                <w:sz w:val="24"/>
                <w:lang w:eastAsia="zh-CN"/>
              </w:rPr>
              <w:t>、粉煤灰</w:t>
            </w:r>
            <w:r>
              <w:rPr>
                <w:spacing w:val="-6"/>
                <w:sz w:val="24"/>
              </w:rPr>
              <w:t>，由罐车运输进场，然后由罐车自带的空压机打入粉料仓，该过程粉料呈流化态，仓顶呼吸孔较大，类比同类工程，粉料仓仓顶</w:t>
            </w:r>
            <w:r>
              <w:rPr>
                <w:rFonts w:hint="eastAsia"/>
                <w:spacing w:val="-6"/>
                <w:sz w:val="24"/>
                <w:lang w:eastAsia="zh-CN"/>
              </w:rPr>
              <w:t>颗粒物</w:t>
            </w:r>
            <w:r>
              <w:rPr>
                <w:spacing w:val="-6"/>
                <w:sz w:val="24"/>
              </w:rPr>
              <w:t>产生浓度为8000mg/m</w:t>
            </w:r>
            <w:r>
              <w:rPr>
                <w:spacing w:val="-6"/>
                <w:sz w:val="24"/>
                <w:vertAlign w:val="superscript"/>
              </w:rPr>
              <w:t>3</w:t>
            </w:r>
            <w:r>
              <w:rPr>
                <w:spacing w:val="-6"/>
                <w:sz w:val="24"/>
              </w:rPr>
              <w:t>。</w:t>
            </w:r>
            <w:r>
              <w:rPr>
                <w:sz w:val="24"/>
              </w:rPr>
              <w:t>本项目厂区设置</w:t>
            </w:r>
            <w:r>
              <w:rPr>
                <w:rFonts w:hint="eastAsia"/>
                <w:sz w:val="24"/>
                <w:lang w:val="en-US" w:eastAsia="zh-CN"/>
              </w:rPr>
              <w:t>2</w:t>
            </w:r>
            <w:r>
              <w:rPr>
                <w:rFonts w:hint="eastAsia"/>
                <w:sz w:val="24"/>
                <w:lang w:eastAsia="zh-CN"/>
              </w:rPr>
              <w:t>座</w:t>
            </w:r>
            <w:r>
              <w:rPr>
                <w:rFonts w:hint="eastAsia"/>
                <w:sz w:val="24"/>
              </w:rPr>
              <w:t>10</w:t>
            </w:r>
            <w:r>
              <w:rPr>
                <w:sz w:val="24"/>
              </w:rPr>
              <w:t>0t的罐</w:t>
            </w:r>
            <w:r>
              <w:rPr>
                <w:rFonts w:hint="eastAsia"/>
                <w:sz w:val="24"/>
                <w:lang w:eastAsia="zh-CN"/>
              </w:rPr>
              <w:t>仓</w:t>
            </w:r>
            <w:r>
              <w:rPr>
                <w:sz w:val="24"/>
              </w:rPr>
              <w:t>，</w:t>
            </w:r>
            <w:r>
              <w:rPr>
                <w:color w:val="auto"/>
                <w:spacing w:val="-6"/>
                <w:sz w:val="24"/>
              </w:rPr>
              <w:t>仓顶呼吸孔</w:t>
            </w:r>
            <w:r>
              <w:rPr>
                <w:rFonts w:hint="eastAsia"/>
                <w:color w:val="auto"/>
                <w:spacing w:val="-6"/>
                <w:sz w:val="24"/>
                <w:lang w:eastAsia="zh-CN"/>
              </w:rPr>
              <w:t>分别</w:t>
            </w:r>
            <w:r>
              <w:rPr>
                <w:color w:val="auto"/>
                <w:sz w:val="24"/>
              </w:rPr>
              <w:t>设置</w:t>
            </w:r>
            <w:r>
              <w:rPr>
                <w:rFonts w:hint="eastAsia"/>
                <w:color w:val="auto"/>
                <w:sz w:val="24"/>
                <w:lang w:eastAsia="zh-CN"/>
              </w:rPr>
              <w:t>脉冲</w:t>
            </w:r>
            <w:r>
              <w:rPr>
                <w:color w:val="auto"/>
                <w:sz w:val="24"/>
              </w:rPr>
              <w:t>袋式除尘器1台，</w:t>
            </w:r>
            <w:r>
              <w:rPr>
                <w:color w:val="auto"/>
                <w:spacing w:val="-6"/>
                <w:sz w:val="24"/>
              </w:rPr>
              <w:t>含尘废气全部经过布袋除尘器处理后</w:t>
            </w:r>
            <w:r>
              <w:rPr>
                <w:rFonts w:hint="eastAsia"/>
                <w:color w:val="auto"/>
                <w:spacing w:val="-6"/>
                <w:sz w:val="24"/>
                <w:lang w:eastAsia="zh-CN"/>
              </w:rPr>
              <w:t>引入投料、搅拌机配套除尘器处理后经</w:t>
            </w:r>
            <w:r>
              <w:rPr>
                <w:rFonts w:hint="eastAsia"/>
                <w:color w:val="auto"/>
                <w:spacing w:val="-6"/>
                <w:sz w:val="24"/>
                <w:lang w:val="en-US" w:eastAsia="zh-CN"/>
              </w:rPr>
              <w:t>15m高排气筒排放</w:t>
            </w:r>
            <w:r>
              <w:rPr>
                <w:rFonts w:hint="eastAsia"/>
                <w:color w:val="auto"/>
                <w:spacing w:val="-6"/>
                <w:sz w:val="24"/>
              </w:rPr>
              <w:t>，</w:t>
            </w:r>
            <w:r>
              <w:rPr>
                <w:spacing w:val="-6"/>
                <w:sz w:val="24"/>
              </w:rPr>
              <w:t>不存在无组织排放。根据建设单位提供资料，每罐车运输量约为</w:t>
            </w:r>
            <w:r>
              <w:rPr>
                <w:rFonts w:hint="eastAsia"/>
                <w:spacing w:val="-6"/>
                <w:sz w:val="24"/>
              </w:rPr>
              <w:t>3</w:t>
            </w:r>
            <w:r>
              <w:rPr>
                <w:spacing w:val="-6"/>
                <w:sz w:val="24"/>
              </w:rPr>
              <w:t>0t，每车</w:t>
            </w:r>
            <w:r>
              <w:rPr>
                <w:rFonts w:hint="eastAsia"/>
                <w:spacing w:val="-6"/>
                <w:sz w:val="24"/>
                <w:lang w:eastAsia="zh-CN"/>
              </w:rPr>
              <w:t>粉料</w:t>
            </w:r>
            <w:r>
              <w:rPr>
                <w:spacing w:val="-6"/>
                <w:sz w:val="24"/>
              </w:rPr>
              <w:t>打入</w:t>
            </w:r>
            <w:r>
              <w:rPr>
                <w:rFonts w:hint="eastAsia"/>
                <w:spacing w:val="-6"/>
                <w:sz w:val="24"/>
                <w:lang w:eastAsia="zh-CN"/>
              </w:rPr>
              <w:t>储</w:t>
            </w:r>
            <w:r>
              <w:rPr>
                <w:spacing w:val="-6"/>
                <w:sz w:val="24"/>
              </w:rPr>
              <w:t>罐约需15min，空压机风量为8000m</w:t>
            </w:r>
            <w:r>
              <w:rPr>
                <w:spacing w:val="-6"/>
                <w:sz w:val="24"/>
                <w:vertAlign w:val="superscript"/>
              </w:rPr>
              <w:t>3</w:t>
            </w:r>
            <w:r>
              <w:rPr>
                <w:spacing w:val="-6"/>
                <w:sz w:val="24"/>
              </w:rPr>
              <w:t>/h。项目水泥年使用量</w:t>
            </w:r>
            <w:r>
              <w:rPr>
                <w:rFonts w:hint="eastAsia"/>
                <w:spacing w:val="-6"/>
                <w:sz w:val="24"/>
              </w:rPr>
              <w:t>75</w:t>
            </w:r>
            <w:r>
              <w:rPr>
                <w:spacing w:val="-6"/>
                <w:sz w:val="24"/>
              </w:rPr>
              <w:t>00t/a</w:t>
            </w:r>
            <w:r>
              <w:rPr>
                <w:rFonts w:hint="eastAsia"/>
                <w:spacing w:val="-6"/>
                <w:sz w:val="24"/>
                <w:lang w:eastAsia="zh-CN"/>
              </w:rPr>
              <w:t>、粉煤灰使用量为</w:t>
            </w:r>
            <w:r>
              <w:rPr>
                <w:rFonts w:hint="eastAsia"/>
                <w:spacing w:val="-6"/>
                <w:sz w:val="24"/>
                <w:lang w:val="en-US" w:eastAsia="zh-CN"/>
              </w:rPr>
              <w:t>6000t/a</w:t>
            </w:r>
            <w:r>
              <w:rPr>
                <w:spacing w:val="-6"/>
                <w:sz w:val="24"/>
              </w:rPr>
              <w:t>，计算出进料时间</w:t>
            </w:r>
            <w:r>
              <w:rPr>
                <w:rFonts w:hint="eastAsia"/>
                <w:spacing w:val="-6"/>
                <w:sz w:val="24"/>
                <w:lang w:eastAsia="zh-CN"/>
              </w:rPr>
              <w:t>分别</w:t>
            </w:r>
            <w:r>
              <w:rPr>
                <w:spacing w:val="-6"/>
                <w:sz w:val="24"/>
              </w:rPr>
              <w:t>为</w:t>
            </w:r>
            <w:r>
              <w:rPr>
                <w:rFonts w:hint="eastAsia"/>
                <w:spacing w:val="-6"/>
                <w:sz w:val="24"/>
              </w:rPr>
              <w:t>62.5</w:t>
            </w:r>
            <w:r>
              <w:rPr>
                <w:spacing w:val="-6"/>
                <w:sz w:val="24"/>
              </w:rPr>
              <w:t>h</w:t>
            </w:r>
            <w:r>
              <w:rPr>
                <w:rFonts w:hint="eastAsia"/>
                <w:spacing w:val="-6"/>
                <w:sz w:val="24"/>
                <w:lang w:eastAsia="zh-CN"/>
              </w:rPr>
              <w:t>、</w:t>
            </w:r>
            <w:r>
              <w:rPr>
                <w:rFonts w:hint="eastAsia"/>
                <w:spacing w:val="-6"/>
                <w:sz w:val="24"/>
                <w:lang w:val="en-US" w:eastAsia="zh-CN"/>
              </w:rPr>
              <w:t>50h</w:t>
            </w:r>
            <w:r>
              <w:rPr>
                <w:spacing w:val="-6"/>
                <w:sz w:val="24"/>
              </w:rPr>
              <w:t>，进料过程废气产生量</w:t>
            </w:r>
            <w:r>
              <w:rPr>
                <w:rFonts w:hint="eastAsia"/>
                <w:spacing w:val="-6"/>
                <w:sz w:val="24"/>
                <w:lang w:eastAsia="zh-CN"/>
              </w:rPr>
              <w:t>分别</w:t>
            </w:r>
            <w:r>
              <w:rPr>
                <w:spacing w:val="-6"/>
                <w:sz w:val="24"/>
              </w:rPr>
              <w:t>为</w:t>
            </w:r>
            <w:r>
              <w:rPr>
                <w:rFonts w:hint="eastAsia"/>
                <w:spacing w:val="-6"/>
                <w:sz w:val="24"/>
              </w:rPr>
              <w:t>50</w:t>
            </w:r>
            <w:r>
              <w:rPr>
                <w:spacing w:val="-6"/>
                <w:sz w:val="24"/>
              </w:rPr>
              <w:t>万m</w:t>
            </w:r>
            <w:r>
              <w:rPr>
                <w:spacing w:val="-6"/>
                <w:sz w:val="24"/>
                <w:vertAlign w:val="superscript"/>
              </w:rPr>
              <w:t>3</w:t>
            </w:r>
            <w:r>
              <w:rPr>
                <w:spacing w:val="-6"/>
                <w:sz w:val="24"/>
              </w:rPr>
              <w:t>/a</w:t>
            </w:r>
            <w:r>
              <w:rPr>
                <w:rFonts w:hint="eastAsia"/>
                <w:spacing w:val="-6"/>
                <w:sz w:val="24"/>
                <w:lang w:eastAsia="zh-CN"/>
              </w:rPr>
              <w:t>、</w:t>
            </w:r>
            <w:r>
              <w:rPr>
                <w:rFonts w:hint="eastAsia"/>
                <w:spacing w:val="-6"/>
                <w:sz w:val="24"/>
                <w:lang w:val="en-US" w:eastAsia="zh-CN"/>
              </w:rPr>
              <w:t>40</w:t>
            </w:r>
            <w:r>
              <w:rPr>
                <w:spacing w:val="-6"/>
                <w:sz w:val="24"/>
              </w:rPr>
              <w:t>万m</w:t>
            </w:r>
            <w:r>
              <w:rPr>
                <w:spacing w:val="-6"/>
                <w:sz w:val="24"/>
                <w:vertAlign w:val="superscript"/>
              </w:rPr>
              <w:t>3</w:t>
            </w:r>
            <w:r>
              <w:rPr>
                <w:spacing w:val="-6"/>
                <w:sz w:val="24"/>
              </w:rPr>
              <w:t>/a。</w:t>
            </w:r>
            <w:r>
              <w:rPr>
                <w:bCs/>
                <w:sz w:val="24"/>
              </w:rPr>
              <w:t>水泥罐顶</w:t>
            </w:r>
            <w:r>
              <w:rPr>
                <w:rFonts w:hint="eastAsia"/>
                <w:bCs/>
                <w:sz w:val="24"/>
                <w:lang w:eastAsia="zh-CN"/>
              </w:rPr>
              <w:t>颗粒物</w:t>
            </w:r>
            <w:r>
              <w:rPr>
                <w:bCs/>
                <w:sz w:val="24"/>
              </w:rPr>
              <w:t>产排情况见</w:t>
            </w:r>
            <w:r>
              <w:rPr>
                <w:bCs/>
                <w:color w:val="auto"/>
                <w:sz w:val="24"/>
              </w:rPr>
              <w:t>表</w:t>
            </w:r>
            <w:r>
              <w:rPr>
                <w:rFonts w:hint="eastAsia"/>
                <w:bCs/>
                <w:color w:val="auto"/>
                <w:sz w:val="24"/>
              </w:rPr>
              <w:t>2</w:t>
            </w:r>
            <w:r>
              <w:rPr>
                <w:rFonts w:hint="eastAsia"/>
                <w:bCs/>
                <w:color w:val="auto"/>
                <w:sz w:val="24"/>
                <w:lang w:val="en-US" w:eastAsia="zh-CN"/>
              </w:rPr>
              <w:t>0</w:t>
            </w:r>
            <w:r>
              <w:rPr>
                <w:bCs/>
                <w:sz w:val="24"/>
              </w:rPr>
              <w:t>。</w:t>
            </w:r>
          </w:p>
          <w:p>
            <w:pPr>
              <w:numPr>
                <w:ilvl w:val="0"/>
                <w:numId w:val="0"/>
              </w:numPr>
              <w:autoSpaceDE w:val="0"/>
              <w:autoSpaceDN w:val="0"/>
              <w:adjustRightInd w:val="0"/>
              <w:spacing w:line="520" w:lineRule="exact"/>
              <w:ind w:leftChars="200"/>
              <w:rPr>
                <w:rFonts w:eastAsia="黑体"/>
                <w:kern w:val="0"/>
                <w:sz w:val="24"/>
                <w:lang w:val="zh-CN"/>
              </w:rPr>
            </w:pPr>
            <w:r>
              <w:rPr>
                <w:rFonts w:eastAsia="黑体"/>
                <w:kern w:val="0"/>
                <w:sz w:val="24"/>
                <w:lang w:val="zh-CN"/>
              </w:rPr>
              <w:t xml:space="preserve">  </w:t>
            </w:r>
            <w:r>
              <w:rPr>
                <w:rFonts w:hint="eastAsia" w:eastAsia="黑体"/>
                <w:kern w:val="0"/>
                <w:sz w:val="24"/>
                <w:lang w:val="zh-CN"/>
              </w:rPr>
              <w:t>表</w:t>
            </w:r>
            <w:r>
              <w:rPr>
                <w:rFonts w:hint="eastAsia" w:eastAsia="黑体"/>
                <w:kern w:val="0"/>
                <w:sz w:val="24"/>
                <w:lang w:val="en-US" w:eastAsia="zh-CN"/>
              </w:rPr>
              <w:t>20</w:t>
            </w:r>
            <w:r>
              <w:rPr>
                <w:rFonts w:eastAsia="黑体"/>
                <w:kern w:val="0"/>
                <w:sz w:val="24"/>
                <w:lang w:val="zh-CN"/>
              </w:rPr>
              <w:t xml:space="preserve">          罐顶</w:t>
            </w:r>
            <w:r>
              <w:rPr>
                <w:rFonts w:hint="eastAsia" w:eastAsia="黑体"/>
                <w:kern w:val="0"/>
                <w:sz w:val="24"/>
                <w:lang w:val="zh-CN"/>
              </w:rPr>
              <w:t>颗粒物</w:t>
            </w:r>
            <w:r>
              <w:rPr>
                <w:rFonts w:eastAsia="黑体"/>
                <w:kern w:val="0"/>
                <w:sz w:val="24"/>
                <w:lang w:val="zh-CN"/>
              </w:rPr>
              <w:t>产排情况</w:t>
            </w:r>
          </w:p>
          <w:tbl>
            <w:tblPr>
              <w:tblStyle w:val="32"/>
              <w:tblW w:w="87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8"/>
              <w:gridCol w:w="951"/>
              <w:gridCol w:w="1007"/>
              <w:gridCol w:w="890"/>
              <w:gridCol w:w="891"/>
              <w:gridCol w:w="1043"/>
              <w:gridCol w:w="890"/>
              <w:gridCol w:w="889"/>
              <w:gridCol w:w="8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kern w:val="0"/>
                      <w:szCs w:val="21"/>
                    </w:rPr>
                  </w:pPr>
                  <w:r>
                    <w:rPr>
                      <w:kern w:val="0"/>
                      <w:szCs w:val="21"/>
                    </w:rPr>
                    <w:t>污染物</w:t>
                  </w:r>
                </w:p>
              </w:tc>
              <w:tc>
                <w:tcPr>
                  <w:tcW w:w="951" w:type="dxa"/>
                  <w:noWrap/>
                  <w:vAlign w:val="center"/>
                </w:tcPr>
                <w:p>
                  <w:pPr>
                    <w:widowControl/>
                    <w:jc w:val="center"/>
                    <w:rPr>
                      <w:kern w:val="0"/>
                      <w:szCs w:val="21"/>
                    </w:rPr>
                  </w:pPr>
                  <w:r>
                    <w:rPr>
                      <w:rFonts w:hint="eastAsia"/>
                      <w:kern w:val="0"/>
                      <w:szCs w:val="21"/>
                      <w:lang w:eastAsia="zh-CN"/>
                    </w:rPr>
                    <w:t>脉冲</w:t>
                  </w:r>
                  <w:r>
                    <w:rPr>
                      <w:kern w:val="0"/>
                      <w:szCs w:val="21"/>
                    </w:rPr>
                    <w:t>袋式除尘器</w:t>
                  </w:r>
                </w:p>
              </w:tc>
              <w:tc>
                <w:tcPr>
                  <w:tcW w:w="1007" w:type="dxa"/>
                  <w:noWrap/>
                  <w:vAlign w:val="center"/>
                </w:tcPr>
                <w:p>
                  <w:pPr>
                    <w:widowControl/>
                    <w:jc w:val="center"/>
                    <w:rPr>
                      <w:kern w:val="0"/>
                      <w:szCs w:val="21"/>
                    </w:rPr>
                  </w:pPr>
                  <w:r>
                    <w:rPr>
                      <w:kern w:val="0"/>
                      <w:szCs w:val="21"/>
                    </w:rPr>
                    <w:t>风机风量</w:t>
                  </w:r>
                </w:p>
                <w:p>
                  <w:pPr>
                    <w:widowControl/>
                    <w:jc w:val="center"/>
                    <w:rPr>
                      <w:kern w:val="0"/>
                      <w:szCs w:val="21"/>
                    </w:rPr>
                  </w:pPr>
                  <w:r>
                    <w:rPr>
                      <w:kern w:val="0"/>
                      <w:szCs w:val="21"/>
                    </w:rPr>
                    <w:t>m</w:t>
                  </w:r>
                  <w:r>
                    <w:rPr>
                      <w:kern w:val="0"/>
                      <w:szCs w:val="21"/>
                      <w:vertAlign w:val="superscript"/>
                    </w:rPr>
                    <w:t>3</w:t>
                  </w:r>
                  <w:r>
                    <w:rPr>
                      <w:kern w:val="0"/>
                      <w:szCs w:val="21"/>
                    </w:rPr>
                    <w:t>/h</w:t>
                  </w:r>
                </w:p>
              </w:tc>
              <w:tc>
                <w:tcPr>
                  <w:tcW w:w="890" w:type="dxa"/>
                  <w:noWrap/>
                  <w:vAlign w:val="center"/>
                </w:tcPr>
                <w:p>
                  <w:pPr>
                    <w:widowControl/>
                    <w:jc w:val="center"/>
                    <w:rPr>
                      <w:kern w:val="0"/>
                      <w:szCs w:val="21"/>
                    </w:rPr>
                  </w:pPr>
                  <w:r>
                    <w:rPr>
                      <w:kern w:val="0"/>
                      <w:szCs w:val="21"/>
                    </w:rPr>
                    <w:t>产生量</w:t>
                  </w:r>
                </w:p>
                <w:p>
                  <w:pPr>
                    <w:widowControl/>
                    <w:jc w:val="center"/>
                    <w:rPr>
                      <w:kern w:val="0"/>
                      <w:szCs w:val="21"/>
                    </w:rPr>
                  </w:pPr>
                  <w:r>
                    <w:rPr>
                      <w:kern w:val="0"/>
                      <w:szCs w:val="21"/>
                    </w:rPr>
                    <w:t>t/a</w:t>
                  </w:r>
                </w:p>
              </w:tc>
              <w:tc>
                <w:tcPr>
                  <w:tcW w:w="891" w:type="dxa"/>
                  <w:noWrap/>
                  <w:vAlign w:val="center"/>
                </w:tcPr>
                <w:p>
                  <w:pPr>
                    <w:widowControl/>
                    <w:jc w:val="center"/>
                    <w:rPr>
                      <w:kern w:val="0"/>
                      <w:szCs w:val="21"/>
                    </w:rPr>
                  </w:pPr>
                  <w:r>
                    <w:rPr>
                      <w:kern w:val="0"/>
                      <w:szCs w:val="21"/>
                    </w:rPr>
                    <w:t>产生浓度</w:t>
                  </w:r>
                </w:p>
                <w:p>
                  <w:pPr>
                    <w:widowControl/>
                    <w:jc w:val="center"/>
                    <w:rPr>
                      <w:kern w:val="0"/>
                      <w:szCs w:val="21"/>
                    </w:rPr>
                  </w:pPr>
                  <w:r>
                    <w:rPr>
                      <w:kern w:val="0"/>
                      <w:szCs w:val="21"/>
                    </w:rPr>
                    <w:t>mg/m</w:t>
                  </w:r>
                  <w:r>
                    <w:rPr>
                      <w:kern w:val="0"/>
                      <w:szCs w:val="21"/>
                      <w:vertAlign w:val="superscript"/>
                    </w:rPr>
                    <w:t>3</w:t>
                  </w:r>
                </w:p>
              </w:tc>
              <w:tc>
                <w:tcPr>
                  <w:tcW w:w="1043" w:type="dxa"/>
                  <w:noWrap/>
                  <w:vAlign w:val="center"/>
                </w:tcPr>
                <w:p>
                  <w:pPr>
                    <w:spacing w:line="360" w:lineRule="exact"/>
                    <w:jc w:val="center"/>
                  </w:pPr>
                  <w:r>
                    <w:rPr>
                      <w:rFonts w:hint="eastAsia"/>
                      <w:spacing w:val="-6"/>
                      <w:szCs w:val="21"/>
                      <w:lang w:eastAsia="zh-CN"/>
                    </w:rPr>
                    <w:t>除</w:t>
                  </w:r>
                  <w:r>
                    <w:rPr>
                      <w:spacing w:val="-6"/>
                      <w:szCs w:val="21"/>
                    </w:rPr>
                    <w:t>尘效率（%）</w:t>
                  </w:r>
                </w:p>
              </w:tc>
              <w:tc>
                <w:tcPr>
                  <w:tcW w:w="890" w:type="dxa"/>
                  <w:noWrap/>
                  <w:vAlign w:val="center"/>
                </w:tcPr>
                <w:p>
                  <w:pPr>
                    <w:widowControl/>
                    <w:jc w:val="center"/>
                    <w:rPr>
                      <w:kern w:val="0"/>
                      <w:szCs w:val="21"/>
                    </w:rPr>
                  </w:pPr>
                  <w:r>
                    <w:rPr>
                      <w:kern w:val="0"/>
                      <w:szCs w:val="21"/>
                    </w:rPr>
                    <w:t>排放量</w:t>
                  </w:r>
                </w:p>
                <w:p>
                  <w:pPr>
                    <w:widowControl/>
                    <w:jc w:val="center"/>
                  </w:pPr>
                  <w:r>
                    <w:rPr>
                      <w:kern w:val="0"/>
                      <w:szCs w:val="21"/>
                    </w:rPr>
                    <w:t>t/a</w:t>
                  </w:r>
                </w:p>
              </w:tc>
              <w:tc>
                <w:tcPr>
                  <w:tcW w:w="889" w:type="dxa"/>
                  <w:noWrap/>
                  <w:vAlign w:val="center"/>
                </w:tcPr>
                <w:p>
                  <w:pPr>
                    <w:widowControl/>
                    <w:jc w:val="center"/>
                    <w:rPr>
                      <w:kern w:val="0"/>
                      <w:szCs w:val="21"/>
                    </w:rPr>
                  </w:pPr>
                  <w:r>
                    <w:rPr>
                      <w:kern w:val="0"/>
                      <w:szCs w:val="21"/>
                    </w:rPr>
                    <w:t>排放速率</w:t>
                  </w:r>
                </w:p>
                <w:p>
                  <w:pPr>
                    <w:widowControl/>
                    <w:jc w:val="center"/>
                    <w:rPr>
                      <w:kern w:val="0"/>
                      <w:szCs w:val="21"/>
                    </w:rPr>
                  </w:pPr>
                  <w:r>
                    <w:rPr>
                      <w:kern w:val="0"/>
                      <w:szCs w:val="21"/>
                    </w:rPr>
                    <w:t>kg/h</w:t>
                  </w:r>
                </w:p>
              </w:tc>
              <w:tc>
                <w:tcPr>
                  <w:tcW w:w="891" w:type="dxa"/>
                  <w:noWrap/>
                  <w:vAlign w:val="center"/>
                </w:tcPr>
                <w:p>
                  <w:pPr>
                    <w:widowControl/>
                    <w:jc w:val="center"/>
                    <w:rPr>
                      <w:kern w:val="0"/>
                      <w:szCs w:val="21"/>
                    </w:rPr>
                  </w:pPr>
                  <w:r>
                    <w:rPr>
                      <w:kern w:val="0"/>
                      <w:szCs w:val="21"/>
                    </w:rPr>
                    <w:t>排放浓度mg/m</w:t>
                  </w:r>
                  <w:r>
                    <w:rPr>
                      <w:kern w:val="0"/>
                      <w:szCs w:val="21"/>
                      <w:vertAlign w:val="superscript"/>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rFonts w:hint="eastAsia" w:eastAsia="宋体"/>
                      <w:kern w:val="0"/>
                      <w:szCs w:val="21"/>
                      <w:lang w:eastAsia="zh-CN"/>
                    </w:rPr>
                  </w:pPr>
                  <w:r>
                    <w:rPr>
                      <w:kern w:val="0"/>
                      <w:szCs w:val="21"/>
                    </w:rPr>
                    <w:t>水泥罐</w:t>
                  </w:r>
                  <w:r>
                    <w:rPr>
                      <w:rFonts w:hint="eastAsia"/>
                      <w:kern w:val="0"/>
                      <w:szCs w:val="21"/>
                      <w:lang w:eastAsia="zh-CN"/>
                    </w:rPr>
                    <w:t>颗粒物</w:t>
                  </w:r>
                </w:p>
              </w:tc>
              <w:tc>
                <w:tcPr>
                  <w:tcW w:w="951" w:type="dxa"/>
                  <w:noWrap/>
                  <w:vAlign w:val="center"/>
                </w:tcPr>
                <w:p>
                  <w:pPr>
                    <w:widowControl/>
                    <w:jc w:val="center"/>
                    <w:rPr>
                      <w:kern w:val="0"/>
                      <w:szCs w:val="21"/>
                    </w:rPr>
                  </w:pPr>
                  <w:r>
                    <w:rPr>
                      <w:kern w:val="0"/>
                      <w:szCs w:val="21"/>
                    </w:rPr>
                    <w:t>1台</w:t>
                  </w:r>
                </w:p>
              </w:tc>
              <w:tc>
                <w:tcPr>
                  <w:tcW w:w="1007" w:type="dxa"/>
                  <w:noWrap/>
                  <w:vAlign w:val="center"/>
                </w:tcPr>
                <w:p>
                  <w:pPr>
                    <w:widowControl/>
                    <w:jc w:val="center"/>
                    <w:rPr>
                      <w:kern w:val="0"/>
                      <w:szCs w:val="21"/>
                      <w:vertAlign w:val="superscript"/>
                    </w:rPr>
                  </w:pPr>
                  <w:r>
                    <w:rPr>
                      <w:kern w:val="0"/>
                      <w:szCs w:val="21"/>
                    </w:rPr>
                    <w:t>8000</w:t>
                  </w:r>
                </w:p>
              </w:tc>
              <w:tc>
                <w:tcPr>
                  <w:tcW w:w="890" w:type="dxa"/>
                  <w:noWrap/>
                  <w:vAlign w:val="center"/>
                </w:tcPr>
                <w:p>
                  <w:pPr>
                    <w:widowControl/>
                    <w:jc w:val="center"/>
                    <w:rPr>
                      <w:kern w:val="0"/>
                      <w:szCs w:val="21"/>
                    </w:rPr>
                  </w:pPr>
                  <w:r>
                    <w:rPr>
                      <w:rFonts w:hint="eastAsia"/>
                      <w:kern w:val="0"/>
                      <w:szCs w:val="21"/>
                    </w:rPr>
                    <w:t>4.0</w:t>
                  </w:r>
                </w:p>
              </w:tc>
              <w:tc>
                <w:tcPr>
                  <w:tcW w:w="891" w:type="dxa"/>
                  <w:noWrap/>
                  <w:vAlign w:val="center"/>
                </w:tcPr>
                <w:p>
                  <w:pPr>
                    <w:widowControl/>
                    <w:jc w:val="center"/>
                    <w:rPr>
                      <w:kern w:val="0"/>
                      <w:szCs w:val="21"/>
                    </w:rPr>
                  </w:pPr>
                  <w:r>
                    <w:rPr>
                      <w:kern w:val="0"/>
                      <w:szCs w:val="21"/>
                    </w:rPr>
                    <w:t>8000</w:t>
                  </w:r>
                </w:p>
              </w:tc>
              <w:tc>
                <w:tcPr>
                  <w:tcW w:w="1043" w:type="dxa"/>
                  <w:noWrap/>
                  <w:vAlign w:val="center"/>
                </w:tcPr>
                <w:p>
                  <w:pPr>
                    <w:spacing w:line="360" w:lineRule="exact"/>
                    <w:jc w:val="center"/>
                  </w:pPr>
                  <w:r>
                    <w:rPr>
                      <w:spacing w:val="-6"/>
                      <w:szCs w:val="21"/>
                    </w:rPr>
                    <w:t>99.9</w:t>
                  </w:r>
                </w:p>
              </w:tc>
              <w:tc>
                <w:tcPr>
                  <w:tcW w:w="890" w:type="dxa"/>
                  <w:noWrap/>
                  <w:vAlign w:val="center"/>
                </w:tcPr>
                <w:p>
                  <w:pPr>
                    <w:widowControl/>
                    <w:jc w:val="center"/>
                  </w:pPr>
                  <w:r>
                    <w:rPr>
                      <w:kern w:val="0"/>
                      <w:szCs w:val="21"/>
                    </w:rPr>
                    <w:t>0.00</w:t>
                  </w:r>
                  <w:r>
                    <w:rPr>
                      <w:rFonts w:hint="eastAsia"/>
                      <w:kern w:val="0"/>
                      <w:szCs w:val="21"/>
                    </w:rPr>
                    <w:t>4</w:t>
                  </w:r>
                </w:p>
              </w:tc>
              <w:tc>
                <w:tcPr>
                  <w:tcW w:w="889" w:type="dxa"/>
                  <w:noWrap/>
                  <w:vAlign w:val="center"/>
                </w:tcPr>
                <w:p>
                  <w:pPr>
                    <w:widowControl/>
                    <w:jc w:val="center"/>
                    <w:rPr>
                      <w:kern w:val="0"/>
                      <w:szCs w:val="21"/>
                    </w:rPr>
                  </w:pPr>
                  <w:r>
                    <w:rPr>
                      <w:kern w:val="0"/>
                      <w:szCs w:val="21"/>
                    </w:rPr>
                    <w:t>0.06</w:t>
                  </w:r>
                  <w:r>
                    <w:rPr>
                      <w:rFonts w:hint="eastAsia"/>
                      <w:kern w:val="0"/>
                      <w:szCs w:val="21"/>
                    </w:rPr>
                    <w:t>4</w:t>
                  </w:r>
                </w:p>
              </w:tc>
              <w:tc>
                <w:tcPr>
                  <w:tcW w:w="891" w:type="dxa"/>
                  <w:noWrap/>
                  <w:vAlign w:val="center"/>
                </w:tcPr>
                <w:p>
                  <w:pPr>
                    <w:widowControl/>
                    <w:jc w:val="center"/>
                    <w:rPr>
                      <w:kern w:val="0"/>
                      <w:szCs w:val="21"/>
                    </w:rPr>
                  </w:pPr>
                  <w:r>
                    <w:rPr>
                      <w:kern w:val="0"/>
                      <w:szCs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rFonts w:hint="eastAsia" w:eastAsia="宋体"/>
                      <w:color w:val="auto"/>
                      <w:kern w:val="0"/>
                      <w:szCs w:val="21"/>
                      <w:lang w:eastAsia="zh-CN"/>
                    </w:rPr>
                  </w:pPr>
                  <w:r>
                    <w:rPr>
                      <w:rFonts w:hint="eastAsia"/>
                      <w:color w:val="auto"/>
                      <w:kern w:val="0"/>
                      <w:szCs w:val="21"/>
                      <w:lang w:eastAsia="zh-CN"/>
                    </w:rPr>
                    <w:t>粉煤灰罐颗粒物</w:t>
                  </w:r>
                </w:p>
              </w:tc>
              <w:tc>
                <w:tcPr>
                  <w:tcW w:w="951" w:type="dxa"/>
                  <w:noWrap/>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1台</w:t>
                  </w:r>
                </w:p>
              </w:tc>
              <w:tc>
                <w:tcPr>
                  <w:tcW w:w="1007"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8000</w:t>
                  </w:r>
                </w:p>
              </w:tc>
              <w:tc>
                <w:tcPr>
                  <w:tcW w:w="890"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3.2</w:t>
                  </w:r>
                </w:p>
              </w:tc>
              <w:tc>
                <w:tcPr>
                  <w:tcW w:w="891"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8000</w:t>
                  </w:r>
                </w:p>
              </w:tc>
              <w:tc>
                <w:tcPr>
                  <w:tcW w:w="1043" w:type="dxa"/>
                  <w:noWrap/>
                  <w:vAlign w:val="center"/>
                </w:tcPr>
                <w:p>
                  <w:pPr>
                    <w:spacing w:line="360" w:lineRule="exact"/>
                    <w:jc w:val="center"/>
                    <w:rPr>
                      <w:rFonts w:hint="default" w:eastAsia="宋体"/>
                      <w:color w:val="auto"/>
                      <w:spacing w:val="-6"/>
                      <w:szCs w:val="21"/>
                      <w:lang w:val="en-US" w:eastAsia="zh-CN"/>
                    </w:rPr>
                  </w:pPr>
                  <w:r>
                    <w:rPr>
                      <w:rFonts w:hint="eastAsia"/>
                      <w:color w:val="auto"/>
                      <w:spacing w:val="-6"/>
                      <w:szCs w:val="21"/>
                      <w:lang w:val="en-US" w:eastAsia="zh-CN"/>
                    </w:rPr>
                    <w:t>99.9</w:t>
                  </w:r>
                </w:p>
              </w:tc>
              <w:tc>
                <w:tcPr>
                  <w:tcW w:w="890"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0.0032</w:t>
                  </w:r>
                </w:p>
              </w:tc>
              <w:tc>
                <w:tcPr>
                  <w:tcW w:w="889"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0.064</w:t>
                  </w:r>
                </w:p>
              </w:tc>
              <w:tc>
                <w:tcPr>
                  <w:tcW w:w="891" w:type="dxa"/>
                  <w:noWrap/>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kern w:val="0"/>
                      <w:szCs w:val="21"/>
                    </w:rPr>
                  </w:pPr>
                  <w:r>
                    <w:rPr>
                      <w:kern w:val="0"/>
                      <w:szCs w:val="21"/>
                    </w:rPr>
                    <w:t>全部</w:t>
                  </w:r>
                </w:p>
              </w:tc>
              <w:tc>
                <w:tcPr>
                  <w:tcW w:w="951" w:type="dxa"/>
                  <w:noWrap/>
                  <w:vAlign w:val="center"/>
                </w:tcPr>
                <w:p>
                  <w:pPr>
                    <w:widowControl/>
                    <w:jc w:val="center"/>
                    <w:rPr>
                      <w:kern w:val="0"/>
                      <w:szCs w:val="21"/>
                    </w:rPr>
                  </w:pPr>
                  <w:r>
                    <w:rPr>
                      <w:rFonts w:hint="eastAsia"/>
                      <w:kern w:val="0"/>
                      <w:szCs w:val="21"/>
                      <w:lang w:val="en-US" w:eastAsia="zh-CN"/>
                    </w:rPr>
                    <w:t>2</w:t>
                  </w:r>
                  <w:r>
                    <w:rPr>
                      <w:kern w:val="0"/>
                      <w:szCs w:val="21"/>
                    </w:rPr>
                    <w:t>台</w:t>
                  </w:r>
                </w:p>
              </w:tc>
              <w:tc>
                <w:tcPr>
                  <w:tcW w:w="1007" w:type="dxa"/>
                  <w:noWrap/>
                  <w:vAlign w:val="center"/>
                </w:tcPr>
                <w:p>
                  <w:pPr>
                    <w:widowControl/>
                    <w:jc w:val="center"/>
                    <w:rPr>
                      <w:kern w:val="0"/>
                      <w:szCs w:val="21"/>
                    </w:rPr>
                  </w:pPr>
                  <w:r>
                    <w:rPr>
                      <w:kern w:val="0"/>
                      <w:szCs w:val="21"/>
                    </w:rPr>
                    <w:t>/</w:t>
                  </w:r>
                </w:p>
              </w:tc>
              <w:tc>
                <w:tcPr>
                  <w:tcW w:w="890" w:type="dxa"/>
                  <w:noWrap/>
                  <w:vAlign w:val="center"/>
                </w:tcPr>
                <w:p>
                  <w:pPr>
                    <w:widowControl/>
                    <w:jc w:val="center"/>
                    <w:rPr>
                      <w:rFonts w:hint="default" w:eastAsia="宋体"/>
                      <w:kern w:val="0"/>
                      <w:szCs w:val="21"/>
                      <w:lang w:val="en-US" w:eastAsia="zh-CN"/>
                    </w:rPr>
                  </w:pPr>
                  <w:r>
                    <w:rPr>
                      <w:rFonts w:hint="eastAsia"/>
                      <w:kern w:val="0"/>
                      <w:szCs w:val="21"/>
                      <w:lang w:val="en-US" w:eastAsia="zh-CN"/>
                    </w:rPr>
                    <w:t>7.2</w:t>
                  </w:r>
                </w:p>
              </w:tc>
              <w:tc>
                <w:tcPr>
                  <w:tcW w:w="891" w:type="dxa"/>
                  <w:noWrap/>
                  <w:vAlign w:val="center"/>
                </w:tcPr>
                <w:p>
                  <w:pPr>
                    <w:widowControl/>
                    <w:jc w:val="center"/>
                    <w:rPr>
                      <w:kern w:val="0"/>
                      <w:szCs w:val="21"/>
                    </w:rPr>
                  </w:pPr>
                  <w:r>
                    <w:rPr>
                      <w:kern w:val="0"/>
                      <w:szCs w:val="21"/>
                    </w:rPr>
                    <w:t>/</w:t>
                  </w:r>
                </w:p>
              </w:tc>
              <w:tc>
                <w:tcPr>
                  <w:tcW w:w="1043" w:type="dxa"/>
                  <w:noWrap/>
                  <w:vAlign w:val="center"/>
                </w:tcPr>
                <w:p>
                  <w:pPr>
                    <w:jc w:val="center"/>
                  </w:pPr>
                  <w:r>
                    <w:t>/</w:t>
                  </w:r>
                </w:p>
              </w:tc>
              <w:tc>
                <w:tcPr>
                  <w:tcW w:w="890" w:type="dxa"/>
                  <w:noWrap/>
                  <w:vAlign w:val="center"/>
                </w:tcPr>
                <w:p>
                  <w:pPr>
                    <w:widowControl/>
                    <w:jc w:val="center"/>
                    <w:rPr>
                      <w:rFonts w:hint="default" w:eastAsia="宋体"/>
                      <w:kern w:val="0"/>
                      <w:szCs w:val="21"/>
                      <w:lang w:val="en-US" w:eastAsia="zh-CN"/>
                    </w:rPr>
                  </w:pPr>
                  <w:r>
                    <w:rPr>
                      <w:kern w:val="0"/>
                      <w:szCs w:val="21"/>
                    </w:rPr>
                    <w:t>0.00</w:t>
                  </w:r>
                  <w:r>
                    <w:rPr>
                      <w:rFonts w:hint="eastAsia"/>
                      <w:kern w:val="0"/>
                      <w:szCs w:val="21"/>
                      <w:lang w:val="en-US" w:eastAsia="zh-CN"/>
                    </w:rPr>
                    <w:t>72</w:t>
                  </w:r>
                </w:p>
              </w:tc>
              <w:tc>
                <w:tcPr>
                  <w:tcW w:w="889" w:type="dxa"/>
                  <w:noWrap/>
                  <w:vAlign w:val="center"/>
                </w:tcPr>
                <w:p>
                  <w:pPr>
                    <w:widowControl/>
                    <w:jc w:val="center"/>
                    <w:rPr>
                      <w:kern w:val="0"/>
                      <w:szCs w:val="21"/>
                    </w:rPr>
                  </w:pPr>
                  <w:r>
                    <w:rPr>
                      <w:kern w:val="0"/>
                      <w:szCs w:val="21"/>
                    </w:rPr>
                    <w:t>/</w:t>
                  </w:r>
                </w:p>
              </w:tc>
              <w:tc>
                <w:tcPr>
                  <w:tcW w:w="891" w:type="dxa"/>
                  <w:noWrap/>
                  <w:vAlign w:val="center"/>
                </w:tcPr>
                <w:p>
                  <w:pPr>
                    <w:widowControl/>
                    <w:jc w:val="center"/>
                    <w:rPr>
                      <w:kern w:val="0"/>
                      <w:szCs w:val="21"/>
                    </w:rPr>
                  </w:pPr>
                  <w:r>
                    <w:rPr>
                      <w:kern w:val="0"/>
                      <w:szCs w:val="21"/>
                    </w:rPr>
                    <w:t>/</w:t>
                  </w:r>
                </w:p>
              </w:tc>
            </w:tr>
          </w:tbl>
          <w:p>
            <w:pPr>
              <w:spacing w:line="520" w:lineRule="exact"/>
              <w:ind w:firstLine="480" w:firstLineChars="200"/>
              <w:rPr>
                <w:rFonts w:hint="eastAsia"/>
                <w:b w:val="0"/>
                <w:bCs/>
                <w:sz w:val="24"/>
                <w:u w:val="none"/>
              </w:rPr>
            </w:pPr>
            <w:r>
              <w:rPr>
                <w:rFonts w:hint="eastAsia"/>
                <w:b w:val="0"/>
                <w:bCs/>
                <w:sz w:val="24"/>
                <w:u w:val="none"/>
                <w:lang w:val="en-US" w:eastAsia="zh-CN"/>
              </w:rPr>
              <w:t>（2）</w:t>
            </w:r>
            <w:r>
              <w:rPr>
                <w:rFonts w:hint="eastAsia"/>
                <w:b w:val="0"/>
                <w:bCs/>
                <w:sz w:val="24"/>
                <w:u w:val="none"/>
                <w:lang w:eastAsia="zh-CN"/>
              </w:rPr>
              <w:t>骨料</w:t>
            </w:r>
            <w:r>
              <w:rPr>
                <w:b w:val="0"/>
                <w:bCs/>
                <w:sz w:val="24"/>
                <w:u w:val="none"/>
              </w:rPr>
              <w:t>装卸</w:t>
            </w:r>
            <w:r>
              <w:rPr>
                <w:rFonts w:hint="eastAsia"/>
                <w:b w:val="0"/>
                <w:bCs/>
                <w:sz w:val="24"/>
                <w:u w:val="none"/>
              </w:rPr>
              <w:t>颗粒物</w:t>
            </w:r>
          </w:p>
          <w:p>
            <w:pPr>
              <w:spacing w:line="520" w:lineRule="exact"/>
              <w:ind w:firstLine="480" w:firstLineChars="200"/>
              <w:textAlignment w:val="baseline"/>
              <w:rPr>
                <w:rFonts w:hint="default"/>
                <w:b w:val="0"/>
                <w:bCs/>
                <w:sz w:val="24"/>
                <w:u w:val="none"/>
              </w:rPr>
            </w:pPr>
            <w:r>
              <w:rPr>
                <w:rFonts w:hint="eastAsia"/>
                <w:b w:val="0"/>
                <w:bCs/>
                <w:sz w:val="24"/>
                <w:u w:val="none"/>
                <w:lang w:eastAsia="zh-CN"/>
              </w:rPr>
              <w:t>骨料</w:t>
            </w:r>
            <w:r>
              <w:rPr>
                <w:rFonts w:hint="default"/>
                <w:b w:val="0"/>
                <w:bCs/>
                <w:sz w:val="24"/>
                <w:u w:val="none"/>
              </w:rPr>
              <w:t>在机械装卸过程中会有</w:t>
            </w:r>
            <w:r>
              <w:rPr>
                <w:rFonts w:hint="default"/>
                <w:b w:val="0"/>
                <w:bCs/>
                <w:sz w:val="24"/>
                <w:u w:val="none"/>
                <w:lang w:eastAsia="zh-CN"/>
              </w:rPr>
              <w:t>颗粒物</w:t>
            </w:r>
            <w:r>
              <w:rPr>
                <w:rFonts w:hint="default"/>
                <w:b w:val="0"/>
                <w:bCs/>
                <w:sz w:val="24"/>
                <w:u w:val="none"/>
              </w:rPr>
              <w:t>产生，根据《逸散性工业粉尘控制技术》中相关内容，卸料起尘量按0.02kg/t计，</w:t>
            </w:r>
            <w:r>
              <w:rPr>
                <w:bCs/>
                <w:sz w:val="24"/>
              </w:rPr>
              <w:t>本项目原料</w:t>
            </w:r>
            <w:r>
              <w:rPr>
                <w:rFonts w:hint="eastAsia" w:ascii="Times New Roman" w:hAnsi="Times New Roman" w:eastAsia="宋体" w:cs="Times New Roman"/>
                <w:b w:val="0"/>
                <w:bCs/>
                <w:sz w:val="24"/>
                <w:u w:val="none"/>
                <w:lang w:eastAsia="zh-CN"/>
              </w:rPr>
              <w:t>砂、石</w:t>
            </w:r>
            <w:r>
              <w:rPr>
                <w:rFonts w:hint="eastAsia" w:cs="Times New Roman"/>
                <w:b w:val="0"/>
                <w:bCs/>
                <w:sz w:val="24"/>
                <w:u w:val="none"/>
                <w:lang w:eastAsia="zh-CN"/>
              </w:rPr>
              <w:t>沫</w:t>
            </w:r>
            <w:r>
              <w:rPr>
                <w:bCs/>
                <w:sz w:val="24"/>
              </w:rPr>
              <w:t>用量</w:t>
            </w:r>
            <w:r>
              <w:rPr>
                <w:rFonts w:hint="eastAsia"/>
                <w:bCs/>
                <w:sz w:val="24"/>
                <w:lang w:val="en-US" w:eastAsia="zh-CN"/>
              </w:rPr>
              <w:t>36500</w:t>
            </w:r>
            <w:r>
              <w:rPr>
                <w:bCs/>
                <w:sz w:val="24"/>
              </w:rPr>
              <w:t>t/a</w:t>
            </w:r>
            <w:r>
              <w:rPr>
                <w:rFonts w:hint="eastAsia"/>
                <w:bCs/>
                <w:sz w:val="24"/>
                <w:lang w:eastAsia="zh-CN"/>
              </w:rPr>
              <w:t>，</w:t>
            </w:r>
            <w:r>
              <w:rPr>
                <w:rFonts w:hint="eastAsia" w:ascii="Times New Roman" w:hAnsi="Times New Roman" w:eastAsia="宋体" w:cs="Times New Roman"/>
                <w:b w:val="0"/>
                <w:bCs/>
                <w:sz w:val="24"/>
                <w:u w:val="none"/>
                <w:lang w:val="en-US" w:eastAsia="zh-CN"/>
              </w:rPr>
              <w:t>则</w:t>
            </w:r>
            <w:r>
              <w:rPr>
                <w:rFonts w:hint="default"/>
                <w:b w:val="0"/>
                <w:bCs/>
                <w:sz w:val="24"/>
                <w:u w:val="none"/>
              </w:rPr>
              <w:t>卸料颗粒物产生量为</w:t>
            </w:r>
            <w:r>
              <w:rPr>
                <w:rFonts w:hint="eastAsia"/>
                <w:b w:val="0"/>
                <w:bCs/>
                <w:sz w:val="24"/>
                <w:u w:val="none"/>
                <w:lang w:val="en-US" w:eastAsia="zh-CN"/>
              </w:rPr>
              <w:t>0.73</w:t>
            </w:r>
            <w:r>
              <w:rPr>
                <w:rFonts w:hint="default"/>
                <w:b w:val="0"/>
                <w:bCs/>
                <w:sz w:val="24"/>
                <w:u w:val="none"/>
              </w:rPr>
              <w:t>t/a。</w:t>
            </w:r>
          </w:p>
          <w:p>
            <w:pPr>
              <w:spacing w:line="500" w:lineRule="exact"/>
              <w:ind w:firstLine="482" w:firstLineChars="200"/>
              <w:rPr>
                <w:rFonts w:hint="default" w:ascii="Times New Roman" w:hAnsi="Times New Roman" w:eastAsia="宋体" w:cs="Times New Roman"/>
                <w:b w:val="0"/>
                <w:bCs/>
                <w:sz w:val="24"/>
                <w:u w:val="none"/>
                <w:lang w:eastAsia="zh-CN"/>
              </w:rPr>
            </w:pPr>
            <w:r>
              <w:rPr>
                <w:rFonts w:hint="default" w:ascii="Times New Roman" w:hAnsi="Times New Roman" w:eastAsia="宋体" w:cs="Times New Roman"/>
                <w:b/>
                <w:bCs w:val="0"/>
                <w:sz w:val="24"/>
                <w:u w:val="single"/>
              </w:rPr>
              <w:t>根据《河南省生态环境厅关于印发河南省工业大气污染防治6个专项方案的通知[2019]84号》的要求，本次环评建议对</w:t>
            </w:r>
            <w:r>
              <w:rPr>
                <w:rFonts w:hint="eastAsia" w:ascii="Times New Roman" w:hAnsi="Times New Roman" w:eastAsia="宋体" w:cs="Times New Roman"/>
                <w:b/>
                <w:bCs w:val="0"/>
                <w:sz w:val="24"/>
                <w:u w:val="single"/>
                <w:lang w:eastAsia="zh-CN"/>
              </w:rPr>
              <w:t>原料</w:t>
            </w:r>
            <w:r>
              <w:rPr>
                <w:rFonts w:hint="default" w:ascii="Times New Roman" w:hAnsi="Times New Roman" w:eastAsia="宋体" w:cs="Times New Roman"/>
                <w:b/>
                <w:bCs w:val="0"/>
                <w:sz w:val="24"/>
                <w:u w:val="single"/>
              </w:rPr>
              <w:t>车间进行密闭，所有物料（包括原辅料、半成品、成品）进库存放，厂界内无露天堆放物料，</w:t>
            </w:r>
            <w:r>
              <w:rPr>
                <w:rFonts w:hint="default" w:ascii="Times New Roman" w:hAnsi="Times New Roman" w:eastAsia="宋体" w:cs="Times New Roman"/>
                <w:b/>
                <w:bCs w:val="0"/>
                <w:sz w:val="24"/>
                <w:szCs w:val="24"/>
                <w:u w:val="single"/>
              </w:rPr>
              <w:t>通道口安装卷帘门、推拉门等封闭性良好且便于开关的硬质门</w:t>
            </w:r>
            <w:r>
              <w:rPr>
                <w:rFonts w:hint="default" w:ascii="Times New Roman" w:hAnsi="Times New Roman" w:eastAsia="宋体" w:cs="Times New Roman"/>
                <w:b/>
                <w:bCs w:val="0"/>
                <w:sz w:val="24"/>
                <w:u w:val="single"/>
              </w:rPr>
              <w:t>，并在</w:t>
            </w:r>
            <w:r>
              <w:rPr>
                <w:rFonts w:hint="eastAsia" w:ascii="Times New Roman" w:hAnsi="Times New Roman" w:eastAsia="宋体" w:cs="Times New Roman"/>
                <w:b/>
                <w:bCs w:val="0"/>
                <w:sz w:val="24"/>
                <w:u w:val="single"/>
                <w:lang w:eastAsia="zh-CN"/>
              </w:rPr>
              <w:t>原料</w:t>
            </w:r>
            <w:r>
              <w:rPr>
                <w:rFonts w:hint="default" w:ascii="Times New Roman" w:hAnsi="Times New Roman" w:eastAsia="宋体" w:cs="Times New Roman"/>
                <w:b/>
                <w:bCs w:val="0"/>
                <w:sz w:val="24"/>
                <w:u w:val="single"/>
              </w:rPr>
              <w:t>车间上方设置旋转</w:t>
            </w:r>
            <w:r>
              <w:rPr>
                <w:rFonts w:hint="eastAsia" w:ascii="Times New Roman" w:hAnsi="Times New Roman" w:eastAsia="宋体" w:cs="Times New Roman"/>
                <w:b/>
                <w:bCs w:val="0"/>
                <w:sz w:val="24"/>
                <w:u w:val="single"/>
                <w:lang w:eastAsia="zh-CN"/>
              </w:rPr>
              <w:t>喷干雾</w:t>
            </w:r>
            <w:r>
              <w:rPr>
                <w:rFonts w:hint="default" w:ascii="Times New Roman" w:hAnsi="Times New Roman" w:eastAsia="宋体" w:cs="Times New Roman"/>
                <w:b/>
                <w:bCs w:val="0"/>
                <w:sz w:val="24"/>
                <w:u w:val="single"/>
              </w:rPr>
              <w:t>装置，</w:t>
            </w:r>
            <w:r>
              <w:rPr>
                <w:b/>
                <w:bCs w:val="0"/>
                <w:sz w:val="24"/>
                <w:u w:val="single"/>
              </w:rPr>
              <w:t>使喷干雾覆盖装卸区</w:t>
            </w:r>
            <w:r>
              <w:rPr>
                <w:rFonts w:hint="eastAsia"/>
                <w:b/>
                <w:bCs w:val="0"/>
                <w:sz w:val="24"/>
                <w:u w:val="single"/>
                <w:lang w:eastAsia="zh-CN"/>
              </w:rPr>
              <w:t>，</w:t>
            </w:r>
            <w:r>
              <w:rPr>
                <w:rFonts w:hint="default" w:ascii="Times New Roman" w:hAnsi="Times New Roman" w:eastAsia="宋体" w:cs="Times New Roman"/>
                <w:b/>
                <w:bCs w:val="0"/>
                <w:sz w:val="24"/>
                <w:u w:val="single"/>
              </w:rPr>
              <w:t>定期对原料进行洒水、抑尘。</w:t>
            </w:r>
            <w:r>
              <w:rPr>
                <w:rFonts w:hint="default" w:ascii="Times New Roman" w:hAnsi="Times New Roman" w:eastAsia="宋体" w:cs="Times New Roman"/>
                <w:b w:val="0"/>
                <w:bCs/>
                <w:sz w:val="24"/>
                <w:u w:val="none"/>
              </w:rPr>
              <w:t>经采取以上措施后颗粒物削减约95%，故项目</w:t>
            </w:r>
            <w:r>
              <w:rPr>
                <w:rFonts w:hint="eastAsia" w:ascii="Times New Roman" w:hAnsi="Times New Roman" w:eastAsia="宋体" w:cs="Times New Roman"/>
                <w:b w:val="0"/>
                <w:bCs/>
                <w:sz w:val="24"/>
                <w:u w:val="none"/>
                <w:lang w:eastAsia="zh-CN"/>
              </w:rPr>
              <w:t>原料车间</w:t>
            </w:r>
            <w:r>
              <w:rPr>
                <w:rFonts w:hint="default" w:ascii="Times New Roman" w:hAnsi="Times New Roman" w:eastAsia="宋体" w:cs="Times New Roman"/>
                <w:b w:val="0"/>
                <w:bCs/>
                <w:sz w:val="24"/>
                <w:u w:val="none"/>
              </w:rPr>
              <w:t>原料装卸</w:t>
            </w:r>
            <w:r>
              <w:rPr>
                <w:rFonts w:hint="default" w:ascii="Times New Roman" w:hAnsi="Times New Roman" w:eastAsia="宋体" w:cs="Times New Roman"/>
                <w:b w:val="0"/>
                <w:bCs/>
                <w:sz w:val="24"/>
                <w:u w:val="none"/>
                <w:lang w:eastAsia="zh-CN"/>
              </w:rPr>
              <w:t>颗粒物</w:t>
            </w:r>
            <w:r>
              <w:rPr>
                <w:rFonts w:hint="default" w:ascii="Times New Roman" w:hAnsi="Times New Roman" w:eastAsia="宋体" w:cs="Times New Roman"/>
                <w:b w:val="0"/>
                <w:bCs/>
                <w:sz w:val="24"/>
                <w:u w:val="none"/>
              </w:rPr>
              <w:t>排放量约为</w:t>
            </w:r>
            <w:r>
              <w:rPr>
                <w:rFonts w:hint="eastAsia" w:ascii="Times New Roman" w:hAnsi="Times New Roman" w:eastAsia="宋体" w:cs="Times New Roman"/>
                <w:b w:val="0"/>
                <w:bCs/>
                <w:sz w:val="24"/>
                <w:u w:val="none"/>
                <w:lang w:val="en-US" w:eastAsia="zh-CN"/>
              </w:rPr>
              <w:t>0.0</w:t>
            </w:r>
            <w:r>
              <w:rPr>
                <w:rFonts w:hint="eastAsia" w:eastAsia="宋体" w:cs="Times New Roman"/>
                <w:b w:val="0"/>
                <w:bCs/>
                <w:sz w:val="24"/>
                <w:u w:val="none"/>
                <w:lang w:val="en-US" w:eastAsia="zh-CN"/>
              </w:rPr>
              <w:t>365</w:t>
            </w:r>
            <w:r>
              <w:rPr>
                <w:rFonts w:hint="default" w:ascii="Times New Roman" w:hAnsi="Times New Roman" w:eastAsia="宋体" w:cs="Times New Roman"/>
                <w:b w:val="0"/>
                <w:bCs/>
                <w:sz w:val="24"/>
                <w:u w:val="none"/>
              </w:rPr>
              <w:t>t/a</w:t>
            </w:r>
            <w:r>
              <w:rPr>
                <w:rFonts w:hint="default" w:ascii="Times New Roman" w:hAnsi="Times New Roman" w:eastAsia="宋体" w:cs="Times New Roman"/>
                <w:b w:val="0"/>
                <w:bCs/>
                <w:sz w:val="24"/>
                <w:u w:val="none"/>
                <w:lang w:eastAsia="zh-CN"/>
              </w:rPr>
              <w:t>。</w:t>
            </w:r>
          </w:p>
          <w:p>
            <w:pPr>
              <w:spacing w:line="520" w:lineRule="exact"/>
              <w:ind w:firstLine="482"/>
              <w:rPr>
                <w:rFonts w:hint="eastAsia" w:eastAsia="宋体"/>
                <w:spacing w:val="-6"/>
                <w:sz w:val="24"/>
                <w:lang w:eastAsia="zh-CN"/>
              </w:rPr>
            </w:pPr>
            <w:r>
              <w:rPr>
                <w:sz w:val="24"/>
              </w:rPr>
              <w:t>（</w:t>
            </w:r>
            <w:r>
              <w:rPr>
                <w:rFonts w:hint="eastAsia"/>
                <w:sz w:val="24"/>
                <w:lang w:val="en-US" w:eastAsia="zh-CN"/>
              </w:rPr>
              <w:t>3</w:t>
            </w:r>
            <w:r>
              <w:rPr>
                <w:sz w:val="24"/>
              </w:rPr>
              <w:t>）</w:t>
            </w:r>
            <w:r>
              <w:rPr>
                <w:rFonts w:hint="eastAsia"/>
                <w:sz w:val="24"/>
                <w:lang w:eastAsia="zh-CN"/>
              </w:rPr>
              <w:t>输送颗粒物、</w:t>
            </w:r>
            <w:r>
              <w:rPr>
                <w:rFonts w:hint="eastAsia"/>
                <w:spacing w:val="-6"/>
                <w:sz w:val="24"/>
              </w:rPr>
              <w:t>投料</w:t>
            </w:r>
            <w:r>
              <w:rPr>
                <w:rFonts w:hint="eastAsia"/>
                <w:spacing w:val="-6"/>
                <w:sz w:val="24"/>
                <w:lang w:eastAsia="zh-CN"/>
              </w:rPr>
              <w:t>颗粒物</w:t>
            </w:r>
            <w:r>
              <w:rPr>
                <w:rFonts w:hint="eastAsia"/>
                <w:spacing w:val="-6"/>
                <w:sz w:val="24"/>
              </w:rPr>
              <w:t>及搅拌</w:t>
            </w:r>
            <w:r>
              <w:rPr>
                <w:rFonts w:hint="eastAsia"/>
                <w:spacing w:val="-6"/>
                <w:sz w:val="24"/>
                <w:lang w:eastAsia="zh-CN"/>
              </w:rPr>
              <w:t>颗粒物</w:t>
            </w:r>
          </w:p>
          <w:p>
            <w:pPr>
              <w:spacing w:line="520" w:lineRule="exact"/>
              <w:ind w:firstLine="458" w:firstLineChars="200"/>
              <w:rPr>
                <w:sz w:val="24"/>
              </w:rPr>
            </w:pPr>
            <w:r>
              <w:rPr>
                <w:rFonts w:hint="eastAsia"/>
                <w:b/>
                <w:bCs/>
                <w:spacing w:val="-6"/>
                <w:sz w:val="24"/>
                <w:u w:val="single"/>
              </w:rPr>
              <w:t>本项目粉料以密闭传送带的方式进入物料合料斗计量，称料后由密闭传送带投料进入搅拌机。项目粉料的输送、计量均为封闭式，因此，该过程产生的</w:t>
            </w:r>
            <w:r>
              <w:rPr>
                <w:rFonts w:hint="eastAsia"/>
                <w:b/>
                <w:bCs/>
                <w:spacing w:val="-6"/>
                <w:sz w:val="24"/>
                <w:u w:val="single"/>
                <w:lang w:eastAsia="zh-CN"/>
              </w:rPr>
              <w:t>颗粒物</w:t>
            </w:r>
            <w:r>
              <w:rPr>
                <w:rFonts w:hint="eastAsia"/>
                <w:b/>
                <w:bCs/>
                <w:spacing w:val="-6"/>
                <w:sz w:val="24"/>
                <w:u w:val="single"/>
              </w:rPr>
              <w:t>量不大，且在停机后沉降下来，回收后用于生产，此</w:t>
            </w:r>
            <w:r>
              <w:rPr>
                <w:rFonts w:hint="eastAsia"/>
                <w:b/>
                <w:bCs/>
                <w:spacing w:val="-6"/>
                <w:sz w:val="24"/>
                <w:u w:val="single"/>
                <w:lang w:eastAsia="zh-CN"/>
              </w:rPr>
              <w:t>颗粒物</w:t>
            </w:r>
            <w:r>
              <w:rPr>
                <w:rFonts w:hint="eastAsia"/>
                <w:b/>
                <w:bCs/>
                <w:spacing w:val="-6"/>
                <w:sz w:val="24"/>
                <w:u w:val="single"/>
              </w:rPr>
              <w:t>对外环境影响较小</w:t>
            </w:r>
            <w:r>
              <w:rPr>
                <w:rFonts w:hint="eastAsia"/>
                <w:spacing w:val="-6"/>
                <w:sz w:val="24"/>
                <w:lang w:eastAsia="zh-CN"/>
              </w:rPr>
              <w:t>。</w:t>
            </w:r>
            <w:r>
              <w:rPr>
                <w:rFonts w:hint="eastAsia" w:ascii="Times New Roman" w:hAnsi="Times New Roman" w:eastAsia="宋体" w:cs="Times New Roman"/>
                <w:b w:val="0"/>
                <w:bCs/>
                <w:sz w:val="24"/>
                <w:u w:val="none"/>
                <w:lang w:eastAsia="zh-CN"/>
              </w:rPr>
              <w:t>投料颗粒物主要为</w:t>
            </w:r>
            <w:r>
              <w:rPr>
                <w:rFonts w:hint="default" w:ascii="Times New Roman" w:hAnsi="Times New Roman" w:eastAsia="宋体" w:cs="Times New Roman"/>
                <w:b w:val="0"/>
                <w:bCs/>
                <w:sz w:val="24"/>
                <w:u w:val="none"/>
              </w:rPr>
              <w:t>骨料、粉料</w:t>
            </w:r>
            <w:r>
              <w:rPr>
                <w:rFonts w:hint="eastAsia" w:ascii="Times New Roman" w:hAnsi="Times New Roman" w:eastAsia="宋体" w:cs="Times New Roman"/>
                <w:b w:val="0"/>
                <w:bCs/>
                <w:sz w:val="24"/>
                <w:u w:val="none"/>
                <w:lang w:eastAsia="zh-CN"/>
              </w:rPr>
              <w:t>进入配料仓时产生的颗粒物，</w:t>
            </w:r>
            <w:r>
              <w:rPr>
                <w:rFonts w:hint="default" w:ascii="Times New Roman" w:hAnsi="Times New Roman" w:eastAsia="宋体" w:cs="Times New Roman"/>
                <w:b w:val="0"/>
                <w:bCs/>
                <w:sz w:val="24"/>
                <w:u w:val="none"/>
              </w:rPr>
              <w:t>搅拌室</w:t>
            </w:r>
            <w:r>
              <w:rPr>
                <w:rFonts w:hint="eastAsia" w:ascii="Times New Roman" w:hAnsi="Times New Roman" w:eastAsia="宋体" w:cs="Times New Roman"/>
                <w:b w:val="0"/>
                <w:bCs/>
                <w:sz w:val="24"/>
                <w:u w:val="none"/>
              </w:rPr>
              <w:t>颗粒物</w:t>
            </w:r>
            <w:r>
              <w:rPr>
                <w:rFonts w:hint="default" w:ascii="Times New Roman" w:hAnsi="Times New Roman" w:eastAsia="宋体" w:cs="Times New Roman"/>
                <w:b w:val="0"/>
                <w:bCs/>
                <w:sz w:val="24"/>
                <w:u w:val="none"/>
              </w:rPr>
              <w:t>主要为骨料、粉料在进入搅拌机时由于落差原因产生一定的</w:t>
            </w:r>
            <w:r>
              <w:rPr>
                <w:rFonts w:hint="eastAsia" w:ascii="Times New Roman" w:hAnsi="Times New Roman" w:eastAsia="宋体" w:cs="Times New Roman"/>
                <w:b w:val="0"/>
                <w:bCs/>
                <w:sz w:val="24"/>
                <w:u w:val="none"/>
              </w:rPr>
              <w:t>颗粒物</w:t>
            </w:r>
            <w:r>
              <w:rPr>
                <w:rFonts w:hint="default" w:ascii="Times New Roman" w:hAnsi="Times New Roman" w:eastAsia="宋体" w:cs="Times New Roman"/>
                <w:b w:val="0"/>
                <w:bCs/>
                <w:sz w:val="24"/>
                <w:u w:val="none"/>
              </w:rPr>
              <w:t>。根据《逸散性工业粉尘控制技术》中相关说明，</w:t>
            </w:r>
            <w:r>
              <w:rPr>
                <w:sz w:val="24"/>
              </w:rPr>
              <w:t>并类比同类企业实际运行情况，</w:t>
            </w:r>
            <w:r>
              <w:rPr>
                <w:rFonts w:hint="eastAsia"/>
                <w:sz w:val="24"/>
                <w:lang w:eastAsia="zh-CN"/>
              </w:rPr>
              <w:t>物料输送、投料及</w:t>
            </w:r>
            <w:r>
              <w:rPr>
                <w:sz w:val="24"/>
              </w:rPr>
              <w:t>搅拌</w:t>
            </w:r>
            <w:r>
              <w:rPr>
                <w:rFonts w:hint="eastAsia"/>
                <w:sz w:val="24"/>
                <w:lang w:eastAsia="zh-CN"/>
              </w:rPr>
              <w:t>颗粒物</w:t>
            </w:r>
            <w:r>
              <w:rPr>
                <w:sz w:val="24"/>
              </w:rPr>
              <w:t>产生系数为0.</w:t>
            </w:r>
            <w:r>
              <w:rPr>
                <w:rFonts w:hint="eastAsia"/>
                <w:sz w:val="24"/>
                <w:lang w:val="en-US" w:eastAsia="zh-CN"/>
              </w:rPr>
              <w:t>4</w:t>
            </w:r>
            <w:r>
              <w:rPr>
                <w:sz w:val="24"/>
              </w:rPr>
              <w:t>kg/t。</w:t>
            </w:r>
            <w:r>
              <w:rPr>
                <w:bCs/>
                <w:sz w:val="24"/>
              </w:rPr>
              <w:t>本项目原料用量</w:t>
            </w:r>
            <w:r>
              <w:rPr>
                <w:rFonts w:hint="eastAsia"/>
                <w:bCs/>
                <w:sz w:val="24"/>
                <w:lang w:val="en-US" w:eastAsia="zh-CN"/>
              </w:rPr>
              <w:t>50250</w:t>
            </w:r>
            <w:r>
              <w:rPr>
                <w:bCs/>
                <w:sz w:val="24"/>
              </w:rPr>
              <w:t>t/a，则</w:t>
            </w:r>
            <w:r>
              <w:rPr>
                <w:rFonts w:hint="eastAsia"/>
                <w:sz w:val="24"/>
                <w:lang w:eastAsia="zh-CN"/>
              </w:rPr>
              <w:t>物料输送、投料及</w:t>
            </w:r>
            <w:r>
              <w:rPr>
                <w:sz w:val="24"/>
              </w:rPr>
              <w:t>搅拌</w:t>
            </w:r>
            <w:r>
              <w:rPr>
                <w:rFonts w:hint="eastAsia"/>
                <w:bCs/>
                <w:sz w:val="24"/>
                <w:lang w:eastAsia="zh-CN"/>
              </w:rPr>
              <w:t>颗粒物</w:t>
            </w:r>
            <w:r>
              <w:rPr>
                <w:bCs/>
                <w:sz w:val="24"/>
              </w:rPr>
              <w:t>产生量</w:t>
            </w:r>
            <w:r>
              <w:rPr>
                <w:sz w:val="24"/>
              </w:rPr>
              <w:t>为</w:t>
            </w:r>
            <w:r>
              <w:rPr>
                <w:rFonts w:hint="eastAsia"/>
                <w:sz w:val="24"/>
                <w:lang w:val="en-US" w:eastAsia="zh-CN"/>
              </w:rPr>
              <w:t>20.1</w:t>
            </w:r>
            <w:r>
              <w:rPr>
                <w:sz w:val="24"/>
              </w:rPr>
              <w:t>t/a。</w:t>
            </w:r>
          </w:p>
          <w:p>
            <w:pPr>
              <w:spacing w:line="520" w:lineRule="exact"/>
              <w:ind w:firstLine="480" w:firstLineChars="200"/>
              <w:rPr>
                <w:rFonts w:hint="eastAsia"/>
                <w:b/>
                <w:bCs/>
                <w:color w:val="auto"/>
                <w:spacing w:val="-6"/>
                <w:sz w:val="24"/>
                <w:u w:val="single"/>
                <w:lang w:eastAsia="zh-CN"/>
              </w:rPr>
            </w:pPr>
            <w:r>
              <w:rPr>
                <w:sz w:val="24"/>
              </w:rPr>
              <w:t>本项目厂区设置1台搅拌机，每天工作8h，年工作300d。</w:t>
            </w:r>
            <w:r>
              <w:rPr>
                <w:rFonts w:hint="eastAsia"/>
                <w:b/>
                <w:bCs/>
                <w:color w:val="auto"/>
                <w:spacing w:val="-6"/>
                <w:sz w:val="24"/>
                <w:u w:val="single"/>
                <w:lang w:eastAsia="zh-CN"/>
              </w:rPr>
              <w:t>根据《河南省2019年工业企业无组织排放治理方案》，评价建议</w:t>
            </w:r>
            <w:r>
              <w:rPr>
                <w:rFonts w:hint="eastAsia"/>
                <w:b/>
                <w:bCs/>
                <w:color w:val="auto"/>
                <w:spacing w:val="-6"/>
                <w:sz w:val="24"/>
                <w:u w:val="single"/>
              </w:rPr>
              <w:t>本项目原料</w:t>
            </w:r>
            <w:r>
              <w:rPr>
                <w:rFonts w:hint="eastAsia"/>
                <w:b/>
                <w:bCs/>
                <w:color w:val="auto"/>
                <w:spacing w:val="-6"/>
                <w:sz w:val="24"/>
                <w:u w:val="single"/>
                <w:lang w:eastAsia="zh-CN"/>
              </w:rPr>
              <w:t>沙子</w:t>
            </w:r>
            <w:r>
              <w:rPr>
                <w:rFonts w:hint="eastAsia"/>
                <w:b/>
                <w:bCs/>
                <w:color w:val="auto"/>
                <w:spacing w:val="-6"/>
                <w:sz w:val="24"/>
                <w:u w:val="single"/>
              </w:rPr>
              <w:t>、石</w:t>
            </w:r>
            <w:r>
              <w:rPr>
                <w:rFonts w:hint="eastAsia"/>
                <w:b/>
                <w:bCs/>
                <w:color w:val="auto"/>
                <w:spacing w:val="-6"/>
                <w:sz w:val="24"/>
                <w:u w:val="single"/>
                <w:lang w:eastAsia="zh-CN"/>
              </w:rPr>
              <w:t>沫</w:t>
            </w:r>
            <w:r>
              <w:rPr>
                <w:rFonts w:hint="eastAsia"/>
                <w:b/>
                <w:bCs/>
                <w:color w:val="auto"/>
                <w:spacing w:val="-6"/>
                <w:sz w:val="24"/>
                <w:u w:val="single"/>
              </w:rPr>
              <w:t>输送至搅拌机的过程为由铲车进入配料斗</w:t>
            </w:r>
            <w:r>
              <w:rPr>
                <w:rFonts w:hint="eastAsia"/>
                <w:b/>
                <w:bCs/>
                <w:color w:val="auto"/>
                <w:spacing w:val="-6"/>
                <w:sz w:val="24"/>
                <w:u w:val="single"/>
                <w:lang w:eastAsia="zh-CN"/>
              </w:rPr>
              <w:t>（配料斗采用三侧封闭，一侧上料，上方安装喷干雾洒水装置，并安装集气罩引至搅拌机配套除尘器，集气效率达</w:t>
            </w:r>
            <w:r>
              <w:rPr>
                <w:rFonts w:hint="eastAsia"/>
                <w:b/>
                <w:bCs/>
                <w:color w:val="auto"/>
                <w:spacing w:val="-6"/>
                <w:sz w:val="24"/>
                <w:u w:val="single"/>
                <w:lang w:val="en-US" w:eastAsia="zh-CN"/>
              </w:rPr>
              <w:t>90%</w:t>
            </w:r>
            <w:r>
              <w:rPr>
                <w:rFonts w:hint="eastAsia"/>
                <w:b/>
                <w:bCs/>
                <w:color w:val="auto"/>
                <w:spacing w:val="-6"/>
                <w:sz w:val="24"/>
                <w:u w:val="single"/>
                <w:lang w:eastAsia="zh-CN"/>
              </w:rPr>
              <w:t>），</w:t>
            </w:r>
            <w:r>
              <w:rPr>
                <w:rFonts w:hint="eastAsia"/>
                <w:b/>
                <w:bCs/>
                <w:color w:val="auto"/>
                <w:spacing w:val="-6"/>
                <w:sz w:val="24"/>
                <w:u w:val="single"/>
              </w:rPr>
              <w:t>其次通过</w:t>
            </w:r>
            <w:r>
              <w:rPr>
                <w:rFonts w:hint="eastAsia"/>
                <w:b/>
                <w:bCs/>
                <w:color w:val="auto"/>
                <w:spacing w:val="-6"/>
                <w:sz w:val="24"/>
                <w:u w:val="single"/>
                <w:lang w:eastAsia="zh-CN"/>
              </w:rPr>
              <w:t>全封闭</w:t>
            </w:r>
            <w:r>
              <w:rPr>
                <w:rFonts w:hint="eastAsia"/>
                <w:b/>
                <w:bCs/>
                <w:color w:val="auto"/>
                <w:spacing w:val="-6"/>
                <w:sz w:val="24"/>
                <w:u w:val="single"/>
              </w:rPr>
              <w:t>传送带输送至预加料斗，再次通过预加料斗通过密闭传送带送至搅拌机</w:t>
            </w:r>
            <w:r>
              <w:rPr>
                <w:rFonts w:hint="eastAsia"/>
                <w:b/>
                <w:bCs/>
                <w:color w:val="auto"/>
                <w:spacing w:val="-6"/>
                <w:sz w:val="24"/>
                <w:u w:val="single"/>
                <w:lang w:eastAsia="zh-CN"/>
              </w:rPr>
              <w:t>，皮带转接点均设置密闭罩</w:t>
            </w:r>
            <w:r>
              <w:rPr>
                <w:rFonts w:hint="eastAsia"/>
                <w:b/>
                <w:bCs/>
                <w:color w:val="auto"/>
                <w:spacing w:val="-6"/>
                <w:sz w:val="24"/>
                <w:u w:val="single"/>
              </w:rPr>
              <w:t>。原料仓库设在密闭生产车间内，原料上方设</w:t>
            </w:r>
            <w:r>
              <w:rPr>
                <w:rFonts w:hint="eastAsia"/>
                <w:b/>
                <w:bCs/>
                <w:color w:val="auto"/>
                <w:spacing w:val="-6"/>
                <w:sz w:val="24"/>
                <w:u w:val="single"/>
                <w:lang w:eastAsia="zh-CN"/>
              </w:rPr>
              <w:t>置喷干雾</w:t>
            </w:r>
            <w:r>
              <w:rPr>
                <w:rFonts w:hint="eastAsia"/>
                <w:b/>
                <w:bCs/>
                <w:color w:val="auto"/>
                <w:spacing w:val="-6"/>
                <w:sz w:val="24"/>
                <w:u w:val="single"/>
              </w:rPr>
              <w:t>装置，故在原料输送过程中产生的</w:t>
            </w:r>
            <w:r>
              <w:rPr>
                <w:rFonts w:hint="eastAsia"/>
                <w:b/>
                <w:bCs/>
                <w:color w:val="auto"/>
                <w:spacing w:val="-6"/>
                <w:sz w:val="24"/>
                <w:u w:val="single"/>
                <w:lang w:eastAsia="zh-CN"/>
              </w:rPr>
              <w:t>颗粒物</w:t>
            </w:r>
            <w:r>
              <w:rPr>
                <w:rFonts w:hint="eastAsia"/>
                <w:b/>
                <w:bCs/>
                <w:color w:val="auto"/>
                <w:spacing w:val="-6"/>
                <w:sz w:val="24"/>
                <w:u w:val="single"/>
              </w:rPr>
              <w:t>经沉降收集后回用于生产</w:t>
            </w:r>
            <w:r>
              <w:rPr>
                <w:rFonts w:hint="eastAsia"/>
                <w:b/>
                <w:bCs/>
                <w:color w:val="auto"/>
                <w:spacing w:val="-6"/>
                <w:sz w:val="24"/>
                <w:u w:val="single"/>
                <w:lang w:eastAsia="zh-CN"/>
              </w:rPr>
              <w:t>。</w:t>
            </w:r>
          </w:p>
          <w:p>
            <w:pPr>
              <w:spacing w:line="520" w:lineRule="exact"/>
              <w:ind w:firstLine="458" w:firstLineChars="200"/>
              <w:rPr>
                <w:rFonts w:hAnsi="宋体"/>
                <w:b/>
                <w:bCs/>
                <w:spacing w:val="-6"/>
                <w:sz w:val="24"/>
                <w:u w:val="single"/>
              </w:rPr>
            </w:pPr>
            <w:r>
              <w:rPr>
                <w:rFonts w:hint="eastAsia"/>
                <w:b/>
                <w:bCs/>
                <w:color w:val="auto"/>
                <w:spacing w:val="-6"/>
                <w:sz w:val="24"/>
                <w:u w:val="single"/>
              </w:rPr>
              <w:t>建设单位拟在搅拌机（共</w:t>
            </w:r>
            <w:r>
              <w:rPr>
                <w:rFonts w:hint="eastAsia"/>
                <w:b/>
                <w:bCs/>
                <w:color w:val="auto"/>
                <w:spacing w:val="-6"/>
                <w:sz w:val="24"/>
                <w:u w:val="single"/>
                <w:lang w:val="en-US" w:eastAsia="zh-CN"/>
              </w:rPr>
              <w:t>1</w:t>
            </w:r>
            <w:r>
              <w:rPr>
                <w:rFonts w:hint="eastAsia"/>
                <w:b/>
                <w:bCs/>
                <w:color w:val="auto"/>
                <w:spacing w:val="-6"/>
                <w:sz w:val="24"/>
                <w:u w:val="single"/>
              </w:rPr>
              <w:t>台搅拌机）的配料斗上部配套安装1台集气罩（集气罩集气效率为</w:t>
            </w:r>
            <w:r>
              <w:rPr>
                <w:rFonts w:hint="eastAsia"/>
                <w:b/>
                <w:bCs/>
                <w:color w:val="auto"/>
                <w:spacing w:val="-6"/>
                <w:sz w:val="24"/>
                <w:u w:val="single"/>
                <w:lang w:val="en-US" w:eastAsia="zh-CN"/>
              </w:rPr>
              <w:t>90</w:t>
            </w:r>
            <w:r>
              <w:rPr>
                <w:rFonts w:hint="eastAsia"/>
                <w:b/>
                <w:bCs/>
                <w:color w:val="auto"/>
                <w:spacing w:val="-6"/>
                <w:sz w:val="24"/>
                <w:u w:val="single"/>
              </w:rPr>
              <w:t>%）+1台脉冲式布袋除尘器，用于处理项目</w:t>
            </w:r>
            <w:r>
              <w:rPr>
                <w:rFonts w:hint="eastAsia"/>
                <w:b/>
                <w:bCs/>
                <w:color w:val="auto"/>
                <w:spacing w:val="-6"/>
                <w:sz w:val="24"/>
                <w:u w:val="single"/>
                <w:lang w:eastAsia="zh-CN"/>
              </w:rPr>
              <w:t>输送、</w:t>
            </w:r>
            <w:r>
              <w:rPr>
                <w:rFonts w:hint="eastAsia"/>
                <w:b/>
                <w:bCs/>
                <w:color w:val="auto"/>
                <w:spacing w:val="-6"/>
                <w:sz w:val="24"/>
                <w:u w:val="single"/>
              </w:rPr>
              <w:t>投料和搅拌</w:t>
            </w:r>
            <w:r>
              <w:rPr>
                <w:rFonts w:hint="eastAsia"/>
                <w:b/>
                <w:bCs/>
                <w:color w:val="auto"/>
                <w:spacing w:val="-6"/>
                <w:sz w:val="24"/>
                <w:u w:val="single"/>
                <w:lang w:eastAsia="zh-CN"/>
              </w:rPr>
              <w:t>颗粒物</w:t>
            </w:r>
            <w:r>
              <w:rPr>
                <w:rFonts w:hint="eastAsia"/>
                <w:b/>
                <w:bCs/>
                <w:color w:val="auto"/>
                <w:spacing w:val="-6"/>
                <w:sz w:val="24"/>
                <w:u w:val="single"/>
              </w:rPr>
              <w:t>。除尘器收集到的</w:t>
            </w:r>
            <w:r>
              <w:rPr>
                <w:rFonts w:hint="eastAsia"/>
                <w:b/>
                <w:bCs/>
                <w:color w:val="auto"/>
                <w:spacing w:val="-6"/>
                <w:sz w:val="24"/>
                <w:u w:val="single"/>
                <w:lang w:eastAsia="zh-CN"/>
              </w:rPr>
              <w:t>颗粒物</w:t>
            </w:r>
            <w:r>
              <w:rPr>
                <w:rFonts w:hint="eastAsia"/>
                <w:b/>
                <w:bCs/>
                <w:color w:val="auto"/>
                <w:spacing w:val="-6"/>
                <w:sz w:val="24"/>
                <w:u w:val="single"/>
              </w:rPr>
              <w:t>回用于生产。</w:t>
            </w:r>
            <w:r>
              <w:rPr>
                <w:rFonts w:hint="eastAsia" w:ascii="宋体" w:hAnsi="宋体"/>
                <w:b/>
                <w:bCs/>
                <w:color w:val="auto"/>
                <w:spacing w:val="-6"/>
                <w:sz w:val="24"/>
                <w:u w:val="single"/>
              </w:rPr>
              <w:t>搅拌机采用密闭形式</w:t>
            </w:r>
            <w:r>
              <w:rPr>
                <w:rFonts w:hint="eastAsia" w:ascii="宋体" w:hAnsi="宋体"/>
                <w:b/>
                <w:bCs/>
                <w:color w:val="auto"/>
                <w:spacing w:val="-6"/>
                <w:sz w:val="24"/>
                <w:u w:val="single"/>
                <w:lang w:eastAsia="zh-CN"/>
              </w:rPr>
              <w:t>（二次封闭）</w:t>
            </w:r>
            <w:r>
              <w:rPr>
                <w:rFonts w:hint="eastAsia" w:ascii="宋体" w:hAnsi="宋体"/>
                <w:b/>
                <w:bCs/>
                <w:color w:val="auto"/>
                <w:spacing w:val="-6"/>
                <w:sz w:val="24"/>
                <w:u w:val="single"/>
              </w:rPr>
              <w:t>，原料输送、投料、搅拌过程产生的</w:t>
            </w:r>
            <w:r>
              <w:rPr>
                <w:rFonts w:hint="eastAsia" w:ascii="宋体" w:hAnsi="宋体"/>
                <w:b/>
                <w:bCs/>
                <w:color w:val="auto"/>
                <w:spacing w:val="-6"/>
                <w:sz w:val="24"/>
                <w:u w:val="single"/>
                <w:lang w:eastAsia="zh-CN"/>
              </w:rPr>
              <w:t>颗粒物</w:t>
            </w:r>
            <w:r>
              <w:rPr>
                <w:rFonts w:hint="eastAsia" w:ascii="宋体" w:hAnsi="宋体"/>
                <w:b/>
                <w:bCs/>
                <w:color w:val="auto"/>
                <w:spacing w:val="-6"/>
                <w:sz w:val="24"/>
                <w:u w:val="single"/>
              </w:rPr>
              <w:t>经集气罩收集后进入袋式除尘器进行除尘，</w:t>
            </w:r>
            <w:r>
              <w:rPr>
                <w:rFonts w:hint="default" w:ascii="Times New Roman" w:hAnsi="Times New Roman" w:cs="Times New Roman"/>
                <w:b/>
                <w:bCs/>
                <w:color w:val="auto"/>
                <w:spacing w:val="-6"/>
                <w:sz w:val="24"/>
                <w:u w:val="single"/>
              </w:rPr>
              <w:t>之后经过1根15m高的排气筒排放。</w:t>
            </w:r>
            <w:r>
              <w:rPr>
                <w:rFonts w:hint="default" w:ascii="Times New Roman" w:hAnsi="Times New Roman" w:cs="Times New Roman"/>
                <w:b/>
                <w:bCs/>
                <w:spacing w:val="-6"/>
                <w:sz w:val="24"/>
                <w:u w:val="single"/>
              </w:rPr>
              <w:t>未</w:t>
            </w:r>
            <w:r>
              <w:rPr>
                <w:rFonts w:hint="eastAsia" w:ascii="宋体" w:hAnsi="宋体"/>
                <w:b/>
                <w:bCs/>
                <w:spacing w:val="-6"/>
                <w:sz w:val="24"/>
                <w:u w:val="single"/>
              </w:rPr>
              <w:t>被收集的</w:t>
            </w:r>
            <w:r>
              <w:rPr>
                <w:rFonts w:hint="eastAsia" w:ascii="宋体" w:hAnsi="宋体"/>
                <w:b/>
                <w:bCs/>
                <w:spacing w:val="-6"/>
                <w:sz w:val="24"/>
                <w:u w:val="single"/>
                <w:lang w:eastAsia="zh-CN"/>
              </w:rPr>
              <w:t>颗粒物</w:t>
            </w:r>
            <w:r>
              <w:rPr>
                <w:rFonts w:hint="eastAsia" w:ascii="宋体" w:hAnsi="宋体"/>
                <w:b/>
                <w:bCs/>
                <w:spacing w:val="-6"/>
                <w:sz w:val="24"/>
                <w:u w:val="single"/>
              </w:rPr>
              <w:t>在车间内自由沉降，</w:t>
            </w:r>
            <w:r>
              <w:rPr>
                <w:rFonts w:hint="eastAsia"/>
                <w:b/>
                <w:bCs/>
                <w:sz w:val="24"/>
                <w:u w:val="single"/>
              </w:rPr>
              <w:t>仅有少量进行无组织排放，</w:t>
            </w:r>
            <w:r>
              <w:rPr>
                <w:rFonts w:hint="eastAsia" w:ascii="宋体" w:hAnsi="宋体"/>
                <w:b/>
                <w:bCs/>
                <w:spacing w:val="-6"/>
                <w:sz w:val="24"/>
                <w:u w:val="single"/>
              </w:rPr>
              <w:t>经收集后回用于生产。</w:t>
            </w:r>
            <w:r>
              <w:rPr>
                <w:rFonts w:hint="eastAsia"/>
                <w:b/>
                <w:bCs/>
                <w:spacing w:val="-6"/>
                <w:sz w:val="24"/>
                <w:u w:val="single"/>
              </w:rPr>
              <w:t>脉冲式布袋除尘器除尘效率可达</w:t>
            </w:r>
            <w:r>
              <w:rPr>
                <w:b/>
                <w:bCs/>
                <w:spacing w:val="-6"/>
                <w:sz w:val="24"/>
                <w:u w:val="single"/>
              </w:rPr>
              <w:t>99%</w:t>
            </w:r>
            <w:r>
              <w:rPr>
                <w:rFonts w:hint="eastAsia"/>
                <w:b/>
                <w:bCs/>
                <w:spacing w:val="-6"/>
                <w:sz w:val="24"/>
                <w:u w:val="single"/>
              </w:rPr>
              <w:t>以上，本项目选用除尘效率为</w:t>
            </w:r>
            <w:r>
              <w:rPr>
                <w:b/>
                <w:bCs/>
                <w:spacing w:val="-6"/>
                <w:sz w:val="24"/>
                <w:u w:val="single"/>
              </w:rPr>
              <w:t xml:space="preserve"> 99%</w:t>
            </w:r>
            <w:r>
              <w:rPr>
                <w:rFonts w:hint="eastAsia"/>
                <w:b/>
                <w:bCs/>
                <w:spacing w:val="-6"/>
                <w:sz w:val="24"/>
                <w:u w:val="single"/>
              </w:rPr>
              <w:t>的脉冲式布袋除尘器</w:t>
            </w:r>
            <w:r>
              <w:rPr>
                <w:rFonts w:hint="eastAsia"/>
                <w:b/>
                <w:bCs/>
                <w:spacing w:val="-6"/>
                <w:sz w:val="24"/>
                <w:u w:val="single"/>
                <w:lang w:eastAsia="zh-CN"/>
              </w:rPr>
              <w:t>，</w:t>
            </w:r>
            <w:r>
              <w:rPr>
                <w:b/>
                <w:bCs/>
                <w:sz w:val="24"/>
                <w:u w:val="single"/>
              </w:rPr>
              <w:t>除尘器</w:t>
            </w:r>
            <w:r>
              <w:rPr>
                <w:rFonts w:hint="eastAsia"/>
                <w:b/>
                <w:bCs/>
                <w:sz w:val="24"/>
                <w:u w:val="single"/>
                <w:lang w:eastAsia="zh-CN"/>
              </w:rPr>
              <w:t>配套</w:t>
            </w:r>
            <w:r>
              <w:rPr>
                <w:b/>
                <w:bCs/>
                <w:sz w:val="24"/>
                <w:u w:val="single"/>
              </w:rPr>
              <w:t>风量为10000m</w:t>
            </w:r>
            <w:r>
              <w:rPr>
                <w:b/>
                <w:bCs/>
                <w:sz w:val="24"/>
                <w:u w:val="single"/>
                <w:vertAlign w:val="superscript"/>
              </w:rPr>
              <w:t>3</w:t>
            </w:r>
            <w:r>
              <w:rPr>
                <w:b/>
                <w:bCs/>
                <w:sz w:val="24"/>
                <w:u w:val="single"/>
              </w:rPr>
              <w:t>/h</w:t>
            </w:r>
            <w:r>
              <w:rPr>
                <w:rFonts w:hint="eastAsia"/>
                <w:b/>
                <w:bCs/>
                <w:spacing w:val="-6"/>
                <w:sz w:val="24"/>
                <w:u w:val="single"/>
              </w:rPr>
              <w:t>。本项目</w:t>
            </w:r>
            <w:r>
              <w:rPr>
                <w:rFonts w:hint="eastAsia"/>
                <w:b/>
                <w:bCs/>
                <w:spacing w:val="-6"/>
                <w:sz w:val="24"/>
                <w:u w:val="single"/>
                <w:lang w:eastAsia="zh-CN"/>
              </w:rPr>
              <w:t>有组织颗粒物</w:t>
            </w:r>
            <w:r>
              <w:rPr>
                <w:rFonts w:hint="eastAsia"/>
                <w:b/>
                <w:bCs/>
                <w:spacing w:val="-6"/>
                <w:sz w:val="24"/>
                <w:u w:val="single"/>
              </w:rPr>
              <w:t>产生排放情况一览表见</w:t>
            </w:r>
            <w:r>
              <w:rPr>
                <w:rFonts w:hint="eastAsia"/>
                <w:b/>
                <w:bCs/>
                <w:color w:val="auto"/>
                <w:spacing w:val="-6"/>
                <w:sz w:val="24"/>
                <w:u w:val="single"/>
              </w:rPr>
              <w:t>表</w:t>
            </w:r>
            <w:r>
              <w:rPr>
                <w:rFonts w:hint="eastAsia"/>
                <w:b/>
                <w:bCs/>
                <w:color w:val="auto"/>
                <w:spacing w:val="-6"/>
                <w:sz w:val="24"/>
                <w:u w:val="single"/>
                <w:lang w:val="en-US" w:eastAsia="zh-CN"/>
              </w:rPr>
              <w:t>21</w:t>
            </w:r>
            <w:r>
              <w:rPr>
                <w:rFonts w:hint="eastAsia"/>
                <w:b/>
                <w:bCs/>
                <w:spacing w:val="-6"/>
                <w:sz w:val="24"/>
                <w:u w:val="single"/>
              </w:rPr>
              <w:t>。</w:t>
            </w:r>
          </w:p>
          <w:p>
            <w:pPr>
              <w:spacing w:line="520" w:lineRule="exact"/>
              <w:ind w:firstLine="456" w:firstLineChars="200"/>
              <w:rPr>
                <w:rFonts w:hint="eastAsia" w:eastAsia="黑体"/>
                <w:color w:val="auto"/>
                <w:spacing w:val="-6"/>
                <w:sz w:val="24"/>
              </w:rPr>
            </w:pPr>
            <w:r>
              <w:rPr>
                <w:rFonts w:hint="eastAsia" w:eastAsia="黑体"/>
                <w:color w:val="auto"/>
                <w:spacing w:val="-6"/>
                <w:sz w:val="24"/>
              </w:rPr>
              <w:t>表</w:t>
            </w:r>
            <w:r>
              <w:rPr>
                <w:rFonts w:hint="eastAsia" w:eastAsia="黑体"/>
                <w:color w:val="auto"/>
                <w:spacing w:val="-6"/>
                <w:sz w:val="24"/>
                <w:lang w:val="en-US" w:eastAsia="zh-CN"/>
              </w:rPr>
              <w:t>21</w:t>
            </w:r>
            <w:r>
              <w:rPr>
                <w:rFonts w:hint="eastAsia" w:eastAsia="黑体"/>
                <w:color w:val="auto"/>
                <w:spacing w:val="-6"/>
                <w:sz w:val="24"/>
              </w:rPr>
              <w:t xml:space="preserve"> </w:t>
            </w:r>
            <w:r>
              <w:rPr>
                <w:rFonts w:hint="eastAsia" w:eastAsia="黑体"/>
                <w:color w:val="FF0000"/>
                <w:spacing w:val="-6"/>
                <w:sz w:val="24"/>
              </w:rPr>
              <w:t xml:space="preserve">                   </w:t>
            </w:r>
            <w:r>
              <w:rPr>
                <w:rFonts w:hint="eastAsia" w:eastAsia="黑体"/>
                <w:color w:val="auto"/>
                <w:spacing w:val="-6"/>
                <w:sz w:val="24"/>
                <w:lang w:eastAsia="zh-CN"/>
              </w:rPr>
              <w:t>项目生产工段颗粒物</w:t>
            </w:r>
            <w:r>
              <w:rPr>
                <w:rFonts w:hint="eastAsia" w:eastAsia="黑体"/>
                <w:color w:val="auto"/>
                <w:spacing w:val="-6"/>
                <w:sz w:val="24"/>
              </w:rPr>
              <w:t>产排情况</w:t>
            </w:r>
          </w:p>
          <w:tbl>
            <w:tblPr>
              <w:tblStyle w:val="32"/>
              <w:tblW w:w="8744" w:type="dxa"/>
              <w:tblInd w:w="0" w:type="dxa"/>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404"/>
              <w:gridCol w:w="765"/>
              <w:gridCol w:w="694"/>
              <w:gridCol w:w="735"/>
              <w:gridCol w:w="825"/>
              <w:gridCol w:w="2415"/>
              <w:gridCol w:w="645"/>
              <w:gridCol w:w="701"/>
              <w:gridCol w:w="750"/>
              <w:gridCol w:w="810"/>
            </w:tblGrid>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1015" w:hRule="atLeast"/>
              </w:trPr>
              <w:tc>
                <w:tcPr>
                  <w:tcW w:w="404"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类别</w:t>
                  </w:r>
                </w:p>
              </w:tc>
              <w:tc>
                <w:tcPr>
                  <w:tcW w:w="76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污染</w:t>
                  </w:r>
                </w:p>
                <w:p>
                  <w:pPr>
                    <w:spacing w:line="360" w:lineRule="exact"/>
                    <w:jc w:val="center"/>
                    <w:rPr>
                      <w:spacing w:val="-6"/>
                      <w:szCs w:val="21"/>
                    </w:rPr>
                  </w:pPr>
                  <w:r>
                    <w:rPr>
                      <w:rFonts w:hint="eastAsia"/>
                      <w:spacing w:val="-6"/>
                      <w:szCs w:val="21"/>
                    </w:rPr>
                    <w:t>环节</w:t>
                  </w:r>
                </w:p>
              </w:tc>
              <w:tc>
                <w:tcPr>
                  <w:tcW w:w="694"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产生量</w:t>
                  </w:r>
                </w:p>
                <w:p>
                  <w:pPr>
                    <w:spacing w:line="360" w:lineRule="exact"/>
                    <w:jc w:val="center"/>
                    <w:rPr>
                      <w:spacing w:val="-6"/>
                      <w:szCs w:val="21"/>
                    </w:rPr>
                  </w:pPr>
                  <w:r>
                    <w:rPr>
                      <w:spacing w:val="-6"/>
                      <w:szCs w:val="21"/>
                    </w:rPr>
                    <w:t>t/a</w:t>
                  </w:r>
                </w:p>
              </w:tc>
              <w:tc>
                <w:tcPr>
                  <w:tcW w:w="735"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产生</w:t>
                  </w:r>
                </w:p>
                <w:p>
                  <w:pPr>
                    <w:spacing w:line="360" w:lineRule="exact"/>
                    <w:jc w:val="center"/>
                    <w:rPr>
                      <w:spacing w:val="-6"/>
                      <w:szCs w:val="21"/>
                    </w:rPr>
                  </w:pPr>
                  <w:r>
                    <w:rPr>
                      <w:rFonts w:hint="eastAsia"/>
                      <w:spacing w:val="-6"/>
                      <w:szCs w:val="21"/>
                    </w:rPr>
                    <w:t>速率</w:t>
                  </w:r>
                  <w:r>
                    <w:rPr>
                      <w:spacing w:val="-6"/>
                      <w:szCs w:val="21"/>
                    </w:rPr>
                    <w:t>kg/h</w:t>
                  </w:r>
                </w:p>
              </w:tc>
              <w:tc>
                <w:tcPr>
                  <w:tcW w:w="825"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产生</w:t>
                  </w:r>
                </w:p>
                <w:p>
                  <w:pPr>
                    <w:spacing w:line="360" w:lineRule="exact"/>
                    <w:jc w:val="center"/>
                    <w:rPr>
                      <w:spacing w:val="-6"/>
                      <w:szCs w:val="21"/>
                    </w:rPr>
                  </w:pPr>
                  <w:r>
                    <w:rPr>
                      <w:rFonts w:hint="eastAsia"/>
                      <w:spacing w:val="-6"/>
                      <w:szCs w:val="21"/>
                    </w:rPr>
                    <w:t>浓度</w:t>
                  </w:r>
                  <w:r>
                    <w:rPr>
                      <w:spacing w:val="-6"/>
                      <w:szCs w:val="21"/>
                    </w:rPr>
                    <w:t>mg/m</w:t>
                  </w:r>
                  <w:r>
                    <w:rPr>
                      <w:spacing w:val="-6"/>
                      <w:szCs w:val="21"/>
                      <w:vertAlign w:val="superscript"/>
                    </w:rPr>
                    <w:t>3</w:t>
                  </w:r>
                </w:p>
              </w:tc>
              <w:tc>
                <w:tcPr>
                  <w:tcW w:w="3060" w:type="dxa"/>
                  <w:gridSpan w:val="2"/>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治理措施</w:t>
                  </w:r>
                </w:p>
              </w:tc>
              <w:tc>
                <w:tcPr>
                  <w:tcW w:w="701"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排放量</w:t>
                  </w:r>
                </w:p>
                <w:p>
                  <w:pPr>
                    <w:spacing w:line="360" w:lineRule="exact"/>
                    <w:jc w:val="center"/>
                    <w:rPr>
                      <w:spacing w:val="-6"/>
                      <w:szCs w:val="21"/>
                    </w:rPr>
                  </w:pPr>
                  <w:r>
                    <w:rPr>
                      <w:spacing w:val="-6"/>
                      <w:szCs w:val="21"/>
                    </w:rPr>
                    <w:t>t/a</w:t>
                  </w:r>
                </w:p>
              </w:tc>
              <w:tc>
                <w:tcPr>
                  <w:tcW w:w="750"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排放</w:t>
                  </w:r>
                </w:p>
                <w:p>
                  <w:pPr>
                    <w:spacing w:line="360" w:lineRule="exact"/>
                    <w:jc w:val="center"/>
                    <w:rPr>
                      <w:spacing w:val="-6"/>
                      <w:szCs w:val="21"/>
                    </w:rPr>
                  </w:pPr>
                  <w:r>
                    <w:rPr>
                      <w:rFonts w:hint="eastAsia"/>
                      <w:spacing w:val="-6"/>
                      <w:szCs w:val="21"/>
                    </w:rPr>
                    <w:t>速率</w:t>
                  </w:r>
                  <w:r>
                    <w:rPr>
                      <w:spacing w:val="-6"/>
                      <w:szCs w:val="21"/>
                    </w:rPr>
                    <w:t>kg/h</w:t>
                  </w:r>
                </w:p>
              </w:tc>
              <w:tc>
                <w:tcPr>
                  <w:tcW w:w="810"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jc w:val="center"/>
                    <w:rPr>
                      <w:spacing w:val="-6"/>
                      <w:szCs w:val="21"/>
                    </w:rPr>
                  </w:pPr>
                  <w:r>
                    <w:rPr>
                      <w:rFonts w:hint="eastAsia"/>
                      <w:spacing w:val="-6"/>
                      <w:szCs w:val="21"/>
                    </w:rPr>
                    <w:t>排放</w:t>
                  </w:r>
                </w:p>
                <w:p>
                  <w:pPr>
                    <w:spacing w:line="360" w:lineRule="exact"/>
                    <w:jc w:val="center"/>
                    <w:rPr>
                      <w:spacing w:val="-6"/>
                      <w:szCs w:val="21"/>
                    </w:rPr>
                  </w:pPr>
                  <w:r>
                    <w:rPr>
                      <w:rFonts w:hint="eastAsia"/>
                      <w:spacing w:val="-6"/>
                      <w:szCs w:val="21"/>
                    </w:rPr>
                    <w:t>浓度</w:t>
                  </w:r>
                </w:p>
                <w:p>
                  <w:pPr>
                    <w:spacing w:line="360" w:lineRule="exact"/>
                    <w:jc w:val="center"/>
                    <w:rPr>
                      <w:spacing w:val="-6"/>
                      <w:szCs w:val="21"/>
                    </w:rPr>
                  </w:pPr>
                  <w:r>
                    <w:rPr>
                      <w:spacing w:val="-6"/>
                      <w:szCs w:val="21"/>
                    </w:rPr>
                    <w:t>mg/m</w:t>
                  </w:r>
                  <w:r>
                    <w:rPr>
                      <w:spacing w:val="-6"/>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restart"/>
                  <w:tcBorders>
                    <w:top w:val="single" w:color="000000" w:sz="4" w:space="0"/>
                    <w:left w:val="single" w:color="auto"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有组织</w:t>
                  </w:r>
                </w:p>
              </w:tc>
              <w:tc>
                <w:tcPr>
                  <w:tcW w:w="76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spacing w:val="-6"/>
                      <w:szCs w:val="21"/>
                    </w:rPr>
                  </w:pPr>
                  <w:r>
                    <w:rPr>
                      <w:rFonts w:hint="eastAsia"/>
                      <w:spacing w:val="-6"/>
                      <w:szCs w:val="21"/>
                    </w:rPr>
                    <w:t>投料、搅拌</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color w:val="auto"/>
                      <w:spacing w:val="-6"/>
                      <w:szCs w:val="21"/>
                      <w:lang w:val="en-US" w:eastAsia="zh-CN"/>
                    </w:rPr>
                  </w:pPr>
                  <w:r>
                    <w:rPr>
                      <w:rFonts w:hint="eastAsia"/>
                      <w:color w:val="auto"/>
                      <w:spacing w:val="-6"/>
                      <w:szCs w:val="21"/>
                      <w:lang w:val="en-US" w:eastAsia="zh-CN"/>
                    </w:rPr>
                    <w:t>18.09</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color w:val="auto"/>
                      <w:spacing w:val="-6"/>
                      <w:szCs w:val="21"/>
                      <w:lang w:val="en-US" w:eastAsia="zh-CN"/>
                    </w:rPr>
                  </w:pPr>
                  <w:r>
                    <w:rPr>
                      <w:rFonts w:hint="eastAsia"/>
                      <w:color w:val="auto"/>
                      <w:spacing w:val="-6"/>
                      <w:szCs w:val="21"/>
                      <w:lang w:val="en-US" w:eastAsia="zh-CN"/>
                    </w:rPr>
                    <w:t>7.54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color w:val="auto"/>
                      <w:spacing w:val="-6"/>
                      <w:szCs w:val="21"/>
                      <w:lang w:val="en-US"/>
                    </w:rPr>
                  </w:pPr>
                  <w:r>
                    <w:rPr>
                      <w:rFonts w:hint="eastAsia"/>
                      <w:color w:val="auto"/>
                      <w:spacing w:val="-6"/>
                      <w:szCs w:val="21"/>
                      <w:lang w:val="en-US" w:eastAsia="zh-CN"/>
                    </w:rPr>
                    <w:t>754</w:t>
                  </w:r>
                </w:p>
              </w:tc>
              <w:tc>
                <w:tcPr>
                  <w:tcW w:w="2415"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spacing w:val="-6"/>
                      <w:szCs w:val="21"/>
                      <w:lang w:val="en-US" w:eastAsia="zh-CN"/>
                    </w:rPr>
                  </w:pPr>
                  <w:r>
                    <w:rPr>
                      <w:rFonts w:hint="eastAsia" w:eastAsia="宋体" w:cs="Times New Roman"/>
                      <w:b w:val="0"/>
                      <w:bCs w:val="0"/>
                      <w:sz w:val="21"/>
                      <w:szCs w:val="21"/>
                      <w:u w:val="none"/>
                      <w:lang w:eastAsia="zh-CN"/>
                    </w:rPr>
                    <w:t>配料口、</w:t>
                  </w:r>
                  <w:r>
                    <w:rPr>
                      <w:rFonts w:hint="default" w:ascii="Times New Roman" w:hAnsi="Times New Roman" w:eastAsia="宋体" w:cs="Times New Roman"/>
                      <w:b w:val="0"/>
                      <w:bCs w:val="0"/>
                      <w:sz w:val="21"/>
                      <w:szCs w:val="21"/>
                      <w:u w:val="none"/>
                    </w:rPr>
                    <w:t>进料口上方配备半封闭集尘罩，引至一套单独的</w:t>
                  </w:r>
                  <w:r>
                    <w:rPr>
                      <w:rFonts w:hint="eastAsia"/>
                      <w:spacing w:val="-6"/>
                      <w:szCs w:val="21"/>
                      <w:lang w:eastAsia="zh-CN"/>
                    </w:rPr>
                    <w:t>袋式除尘器，</w:t>
                  </w:r>
                  <w:r>
                    <w:rPr>
                      <w:rFonts w:hint="default" w:ascii="Times New Roman" w:hAnsi="Times New Roman" w:eastAsia="宋体" w:cs="Times New Roman"/>
                      <w:b w:val="0"/>
                      <w:bCs w:val="0"/>
                      <w:sz w:val="21"/>
                      <w:szCs w:val="21"/>
                      <w:u w:val="none"/>
                    </w:rPr>
                    <w:t>（风量</w:t>
                  </w:r>
                  <w:r>
                    <w:rPr>
                      <w:rFonts w:hint="eastAsia" w:eastAsia="宋体" w:cs="Times New Roman"/>
                      <w:b w:val="0"/>
                      <w:bCs w:val="0"/>
                      <w:sz w:val="21"/>
                      <w:szCs w:val="21"/>
                      <w:u w:val="none"/>
                      <w:lang w:val="en-US" w:eastAsia="zh-CN"/>
                    </w:rPr>
                    <w:t>1</w:t>
                  </w:r>
                  <w:r>
                    <w:rPr>
                      <w:rFonts w:hint="default" w:ascii="Times New Roman" w:hAnsi="Times New Roman" w:eastAsia="宋体" w:cs="Times New Roman"/>
                      <w:b w:val="0"/>
                      <w:bCs w:val="0"/>
                      <w:sz w:val="21"/>
                      <w:szCs w:val="21"/>
                      <w:u w:val="none"/>
                    </w:rPr>
                    <w:t>0000m</w:t>
                  </w:r>
                  <w:r>
                    <w:rPr>
                      <w:rFonts w:hint="default" w:ascii="Times New Roman" w:hAnsi="Times New Roman" w:eastAsia="宋体" w:cs="Times New Roman"/>
                      <w:b w:val="0"/>
                      <w:bCs w:val="0"/>
                      <w:sz w:val="21"/>
                      <w:szCs w:val="21"/>
                      <w:u w:val="none"/>
                      <w:vertAlign w:val="superscript"/>
                    </w:rPr>
                    <w:t>3</w:t>
                  </w:r>
                  <w:r>
                    <w:rPr>
                      <w:rFonts w:hint="default" w:ascii="Times New Roman" w:hAnsi="Times New Roman" w:eastAsia="宋体" w:cs="Times New Roman"/>
                      <w:b w:val="0"/>
                      <w:bCs w:val="0"/>
                      <w:sz w:val="21"/>
                      <w:szCs w:val="21"/>
                      <w:u w:val="none"/>
                    </w:rPr>
                    <w:t>/h，</w:t>
                  </w:r>
                  <w:r>
                    <w:rPr>
                      <w:rFonts w:hint="default" w:ascii="Times New Roman" w:hAnsi="Times New Roman" w:eastAsia="宋体" w:cs="Times New Roman"/>
                      <w:b w:val="0"/>
                      <w:bCs w:val="0"/>
                      <w:u w:val="none"/>
                      <w:lang w:eastAsia="zh-CN"/>
                    </w:rPr>
                    <w:t>收集效率</w:t>
                  </w:r>
                  <w:r>
                    <w:rPr>
                      <w:rFonts w:hint="eastAsia" w:cs="Times New Roman"/>
                      <w:b w:val="0"/>
                      <w:bCs w:val="0"/>
                      <w:u w:val="none"/>
                      <w:lang w:val="en-US" w:eastAsia="zh-CN"/>
                    </w:rPr>
                    <w:t>9</w:t>
                  </w:r>
                  <w:r>
                    <w:rPr>
                      <w:rFonts w:hint="default" w:ascii="Times New Roman" w:hAnsi="Times New Roman" w:eastAsia="宋体" w:cs="Times New Roman"/>
                      <w:b w:val="0"/>
                      <w:bCs w:val="0"/>
                      <w:u w:val="none"/>
                    </w:rPr>
                    <w:t>0%</w:t>
                  </w:r>
                  <w:r>
                    <w:rPr>
                      <w:rFonts w:hint="default" w:ascii="Times New Roman" w:hAnsi="Times New Roman" w:eastAsia="宋体" w:cs="Times New Roman"/>
                      <w:b w:val="0"/>
                      <w:bCs w:val="0"/>
                      <w:u w:val="none"/>
                      <w:lang w:eastAsia="zh-CN"/>
                    </w:rPr>
                    <w:t>，</w:t>
                  </w:r>
                  <w:r>
                    <w:rPr>
                      <w:rFonts w:hint="default" w:ascii="Times New Roman" w:hAnsi="Times New Roman" w:eastAsia="宋体" w:cs="Times New Roman"/>
                      <w:b w:val="0"/>
                      <w:bCs w:val="0"/>
                      <w:sz w:val="21"/>
                      <w:szCs w:val="21"/>
                      <w:u w:val="none"/>
                    </w:rPr>
                    <w:t>除尘效率为99%）</w:t>
                  </w:r>
                </w:p>
              </w:tc>
              <w:tc>
                <w:tcPr>
                  <w:tcW w:w="645" w:type="dxa"/>
                  <w:vMerge w:val="restart"/>
                  <w:tcBorders>
                    <w:top w:val="single" w:color="000000" w:sz="4" w:space="0"/>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s="Times New Roman"/>
                      <w:b w:val="0"/>
                      <w:bCs w:val="0"/>
                      <w:sz w:val="21"/>
                      <w:szCs w:val="21"/>
                      <w:u w:val="none"/>
                      <w:lang w:eastAsia="zh-CN"/>
                    </w:rPr>
                  </w:pPr>
                  <w:r>
                    <w:rPr>
                      <w:rFonts w:hint="default" w:ascii="Times New Roman" w:hAnsi="Times New Roman" w:eastAsia="宋体" w:cs="Times New Roman"/>
                      <w:b w:val="0"/>
                      <w:bCs w:val="0"/>
                      <w:sz w:val="21"/>
                      <w:szCs w:val="21"/>
                      <w:u w:val="none"/>
                    </w:rPr>
                    <w:t>共同通过1根15m高排气筒排放</w:t>
                  </w:r>
                </w:p>
              </w:tc>
              <w:tc>
                <w:tcPr>
                  <w:tcW w:w="701" w:type="dxa"/>
                  <w:vMerge w:val="restart"/>
                  <w:tcBorders>
                    <w:top w:val="single" w:color="000000" w:sz="4" w:space="0"/>
                    <w:left w:val="single" w:color="auto"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0.181</w:t>
                  </w:r>
                </w:p>
              </w:tc>
              <w:tc>
                <w:tcPr>
                  <w:tcW w:w="750" w:type="dxa"/>
                  <w:vMerge w:val="restart"/>
                  <w:tcBorders>
                    <w:top w:val="single" w:color="000000" w:sz="4" w:space="0"/>
                    <w:left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0.075</w:t>
                  </w:r>
                </w:p>
              </w:tc>
              <w:tc>
                <w:tcPr>
                  <w:tcW w:w="810" w:type="dxa"/>
                  <w:vMerge w:val="restart"/>
                  <w:tcBorders>
                    <w:top w:val="single" w:color="000000" w:sz="4" w:space="0"/>
                    <w:left w:val="single" w:color="000000" w:sz="4" w:space="0"/>
                    <w:right w:val="single" w:color="auto"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7.5</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continue"/>
                  <w:tcBorders>
                    <w:left w:val="single" w:color="auto" w:sz="4" w:space="0"/>
                    <w:right w:val="single" w:color="000000" w:sz="4" w:space="0"/>
                  </w:tcBorders>
                  <w:noWrap w:val="0"/>
                  <w:vAlign w:val="center"/>
                </w:tcPr>
                <w:p>
                  <w:pPr>
                    <w:spacing w:line="360" w:lineRule="exact"/>
                    <w:jc w:val="center"/>
                    <w:rPr>
                      <w:rFonts w:hint="eastAsia"/>
                      <w:spacing w:val="-6"/>
                      <w:szCs w:val="21"/>
                    </w:rPr>
                  </w:pPr>
                </w:p>
              </w:tc>
              <w:tc>
                <w:tcPr>
                  <w:tcW w:w="76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粉料储罐</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0.0072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0.128</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8</w:t>
                  </w:r>
                </w:p>
              </w:tc>
              <w:tc>
                <w:tcPr>
                  <w:tcW w:w="2415"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经仓顶除尘器处理后，经管道引入</w:t>
                  </w:r>
                  <w:r>
                    <w:rPr>
                      <w:rFonts w:hint="eastAsia"/>
                      <w:spacing w:val="-6"/>
                      <w:szCs w:val="21"/>
                    </w:rPr>
                    <w:t>投料、搅拌</w:t>
                  </w:r>
                  <w:r>
                    <w:rPr>
                      <w:rFonts w:hint="eastAsia"/>
                      <w:spacing w:val="-6"/>
                      <w:szCs w:val="21"/>
                      <w:lang w:eastAsia="zh-CN"/>
                    </w:rPr>
                    <w:t>设置的除尘器内</w:t>
                  </w:r>
                  <w:r>
                    <w:rPr>
                      <w:rFonts w:hint="default" w:ascii="Times New Roman" w:hAnsi="Times New Roman" w:eastAsia="宋体" w:cs="Times New Roman"/>
                      <w:b w:val="0"/>
                      <w:bCs w:val="0"/>
                      <w:sz w:val="21"/>
                      <w:szCs w:val="21"/>
                      <w:u w:val="none"/>
                    </w:rPr>
                    <w:t>（风量</w:t>
                  </w:r>
                  <w:r>
                    <w:rPr>
                      <w:rFonts w:hint="eastAsia" w:eastAsia="宋体" w:cs="Times New Roman"/>
                      <w:b w:val="0"/>
                      <w:bCs w:val="0"/>
                      <w:sz w:val="21"/>
                      <w:szCs w:val="21"/>
                      <w:u w:val="none"/>
                      <w:lang w:val="en-US" w:eastAsia="zh-CN"/>
                    </w:rPr>
                    <w:t>1</w:t>
                  </w:r>
                  <w:r>
                    <w:rPr>
                      <w:rFonts w:hint="default" w:ascii="Times New Roman" w:hAnsi="Times New Roman" w:eastAsia="宋体" w:cs="Times New Roman"/>
                      <w:b w:val="0"/>
                      <w:bCs w:val="0"/>
                      <w:sz w:val="21"/>
                      <w:szCs w:val="21"/>
                      <w:u w:val="none"/>
                    </w:rPr>
                    <w:t>0000m</w:t>
                  </w:r>
                  <w:r>
                    <w:rPr>
                      <w:rFonts w:hint="default" w:ascii="Times New Roman" w:hAnsi="Times New Roman" w:eastAsia="宋体" w:cs="Times New Roman"/>
                      <w:b w:val="0"/>
                      <w:bCs w:val="0"/>
                      <w:sz w:val="21"/>
                      <w:szCs w:val="21"/>
                      <w:u w:val="none"/>
                      <w:vertAlign w:val="superscript"/>
                    </w:rPr>
                    <w:t>3</w:t>
                  </w:r>
                  <w:r>
                    <w:rPr>
                      <w:rFonts w:hint="default" w:ascii="Times New Roman" w:hAnsi="Times New Roman" w:eastAsia="宋体" w:cs="Times New Roman"/>
                      <w:b w:val="0"/>
                      <w:bCs w:val="0"/>
                      <w:sz w:val="21"/>
                      <w:szCs w:val="21"/>
                      <w:u w:val="none"/>
                    </w:rPr>
                    <w:t>/h，</w:t>
                  </w:r>
                  <w:r>
                    <w:rPr>
                      <w:rFonts w:hint="default" w:ascii="Times New Roman" w:hAnsi="Times New Roman" w:eastAsia="宋体" w:cs="Times New Roman"/>
                      <w:b w:val="0"/>
                      <w:bCs w:val="0"/>
                      <w:u w:val="none"/>
                      <w:lang w:eastAsia="zh-CN"/>
                    </w:rPr>
                    <w:t>收集效率</w:t>
                  </w:r>
                  <w:r>
                    <w:rPr>
                      <w:rFonts w:hint="eastAsia" w:cs="Times New Roman"/>
                      <w:b w:val="0"/>
                      <w:bCs w:val="0"/>
                      <w:u w:val="none"/>
                      <w:lang w:val="en-US" w:eastAsia="zh-CN"/>
                    </w:rPr>
                    <w:t>100</w:t>
                  </w:r>
                  <w:r>
                    <w:rPr>
                      <w:rFonts w:hint="default" w:ascii="Times New Roman" w:hAnsi="Times New Roman" w:eastAsia="宋体" w:cs="Times New Roman"/>
                      <w:b w:val="0"/>
                      <w:bCs w:val="0"/>
                      <w:u w:val="none"/>
                    </w:rPr>
                    <w:t>%</w:t>
                  </w:r>
                  <w:r>
                    <w:rPr>
                      <w:rFonts w:hint="default" w:ascii="Times New Roman" w:hAnsi="Times New Roman" w:eastAsia="宋体" w:cs="Times New Roman"/>
                      <w:b w:val="0"/>
                      <w:bCs w:val="0"/>
                      <w:u w:val="none"/>
                      <w:lang w:eastAsia="zh-CN"/>
                    </w:rPr>
                    <w:t>，</w:t>
                  </w:r>
                  <w:r>
                    <w:rPr>
                      <w:rFonts w:hint="default" w:ascii="Times New Roman" w:hAnsi="Times New Roman" w:eastAsia="宋体" w:cs="Times New Roman"/>
                      <w:b w:val="0"/>
                      <w:bCs w:val="0"/>
                      <w:sz w:val="21"/>
                      <w:szCs w:val="21"/>
                      <w:u w:val="none"/>
                    </w:rPr>
                    <w:t>除尘效率为99%）</w:t>
                  </w:r>
                </w:p>
              </w:tc>
              <w:tc>
                <w:tcPr>
                  <w:tcW w:w="645" w:type="dxa"/>
                  <w:vMerge w:val="continue"/>
                  <w:tcBorders>
                    <w:left w:val="single" w:color="auto" w:sz="4" w:space="0"/>
                    <w:bottom w:val="single" w:color="000000" w:sz="4" w:space="0"/>
                    <w:right w:val="single" w:color="000000" w:sz="4" w:space="0"/>
                  </w:tcBorders>
                  <w:noWrap w:val="0"/>
                  <w:vAlign w:val="center"/>
                </w:tcPr>
                <w:p>
                  <w:pPr>
                    <w:spacing w:line="360" w:lineRule="exact"/>
                    <w:jc w:val="center"/>
                    <w:rPr>
                      <w:rFonts w:hint="eastAsia"/>
                      <w:spacing w:val="-6"/>
                      <w:szCs w:val="21"/>
                      <w:lang w:eastAsia="zh-CN"/>
                    </w:rPr>
                  </w:pPr>
                </w:p>
              </w:tc>
              <w:tc>
                <w:tcPr>
                  <w:tcW w:w="701" w:type="dxa"/>
                  <w:vMerge w:val="continue"/>
                  <w:tcBorders>
                    <w:left w:val="single" w:color="auto" w:sz="4" w:space="0"/>
                    <w:bottom w:val="single" w:color="000000"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750" w:type="dxa"/>
                  <w:vMerge w:val="continue"/>
                  <w:tcBorders>
                    <w:left w:val="single" w:color="000000" w:sz="4" w:space="0"/>
                    <w:bottom w:val="single" w:color="000000"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810" w:type="dxa"/>
                  <w:vMerge w:val="continue"/>
                  <w:tcBorders>
                    <w:left w:val="single" w:color="000000" w:sz="4" w:space="0"/>
                    <w:bottom w:val="single" w:color="000000" w:sz="4" w:space="0"/>
                    <w:right w:val="single" w:color="auto" w:sz="4" w:space="0"/>
                  </w:tcBorders>
                  <w:noWrap w:val="0"/>
                  <w:vAlign w:val="center"/>
                </w:tcPr>
                <w:p>
                  <w:pPr>
                    <w:spacing w:line="360" w:lineRule="exact"/>
                    <w:jc w:val="center"/>
                    <w:rPr>
                      <w:rFonts w:hint="eastAsia"/>
                      <w:spacing w:val="-6"/>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restart"/>
                  <w:tcBorders>
                    <w:top w:val="single" w:color="auto" w:sz="4" w:space="0"/>
                    <w:left w:val="single" w:color="auto"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无组织</w:t>
                  </w:r>
                </w:p>
              </w:tc>
              <w:tc>
                <w:tcPr>
                  <w:tcW w:w="76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原料装卸</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0.73</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0.304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w:t>
                  </w:r>
                </w:p>
              </w:tc>
              <w:tc>
                <w:tcPr>
                  <w:tcW w:w="3060" w:type="dxa"/>
                  <w:gridSpan w:val="2"/>
                  <w:vMerge w:val="restart"/>
                  <w:tcBorders>
                    <w:top w:val="single" w:color="000000" w:sz="4" w:space="0"/>
                    <w:left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全封闭输送带、车间密闭，自然沉降、洒水降尘，</w:t>
                  </w:r>
                  <w:r>
                    <w:rPr>
                      <w:rFonts w:hint="default" w:ascii="Times New Roman" w:hAnsi="Times New Roman" w:eastAsia="宋体" w:cs="Times New Roman"/>
                      <w:b w:val="0"/>
                      <w:bCs w:val="0"/>
                      <w:sz w:val="21"/>
                      <w:szCs w:val="21"/>
                      <w:u w:val="none"/>
                      <w:lang w:val="en-US" w:eastAsia="zh-CN"/>
                    </w:rPr>
                    <w:t>阻隔率为95%</w:t>
                  </w:r>
                </w:p>
              </w:tc>
              <w:tc>
                <w:tcPr>
                  <w:tcW w:w="701" w:type="dxa"/>
                  <w:vMerge w:val="restart"/>
                  <w:tcBorders>
                    <w:top w:val="single" w:color="000000" w:sz="4" w:space="0"/>
                    <w:left w:val="single" w:color="auto"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0.137</w:t>
                  </w:r>
                </w:p>
              </w:tc>
              <w:tc>
                <w:tcPr>
                  <w:tcW w:w="750" w:type="dxa"/>
                  <w:vMerge w:val="restart"/>
                  <w:tcBorders>
                    <w:top w:val="single" w:color="000000" w:sz="4" w:space="0"/>
                    <w:left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0.057</w:t>
                  </w:r>
                </w:p>
              </w:tc>
              <w:tc>
                <w:tcPr>
                  <w:tcW w:w="810" w:type="dxa"/>
                  <w:vMerge w:val="restart"/>
                  <w:tcBorders>
                    <w:top w:val="single" w:color="000000" w:sz="4" w:space="0"/>
                    <w:left w:val="single" w:color="000000" w:sz="4" w:space="0"/>
                    <w:right w:val="single" w:color="auto" w:sz="4" w:space="0"/>
                  </w:tcBorders>
                  <w:noWrap w:val="0"/>
                  <w:vAlign w:val="center"/>
                </w:tcPr>
                <w:p>
                  <w:pPr>
                    <w:spacing w:line="360" w:lineRule="exact"/>
                    <w:jc w:val="center"/>
                    <w:rPr>
                      <w:rFonts w:hint="eastAsia"/>
                      <w:spacing w:val="-6"/>
                      <w:szCs w:val="21"/>
                    </w:rPr>
                  </w:pPr>
                  <w:r>
                    <w:rPr>
                      <w:rFonts w:hint="eastAsia"/>
                      <w:spacing w:val="-6"/>
                      <w:szCs w:val="21"/>
                    </w:rPr>
                    <w:t>/</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continue"/>
                  <w:tcBorders>
                    <w:left w:val="single" w:color="auto" w:sz="4" w:space="0"/>
                    <w:bottom w:val="single" w:color="auto" w:sz="4" w:space="0"/>
                    <w:right w:val="single" w:color="000000" w:sz="4" w:space="0"/>
                  </w:tcBorders>
                  <w:noWrap w:val="0"/>
                  <w:vAlign w:val="center"/>
                </w:tcPr>
                <w:p>
                  <w:pPr>
                    <w:spacing w:line="360" w:lineRule="exact"/>
                    <w:jc w:val="center"/>
                    <w:rPr>
                      <w:rFonts w:hint="eastAsia"/>
                      <w:spacing w:val="-6"/>
                      <w:szCs w:val="21"/>
                    </w:rPr>
                  </w:pPr>
                </w:p>
              </w:tc>
              <w:tc>
                <w:tcPr>
                  <w:tcW w:w="76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lang w:eastAsia="zh-CN"/>
                    </w:rPr>
                    <w:t>输送、</w:t>
                  </w:r>
                  <w:r>
                    <w:rPr>
                      <w:rFonts w:hint="eastAsia"/>
                      <w:spacing w:val="-6"/>
                      <w:szCs w:val="21"/>
                    </w:rPr>
                    <w:t>投料、搅拌</w:t>
                  </w:r>
                </w:p>
              </w:tc>
              <w:tc>
                <w:tcPr>
                  <w:tcW w:w="694"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2.01</w:t>
                  </w:r>
                </w:p>
              </w:tc>
              <w:tc>
                <w:tcPr>
                  <w:tcW w:w="735"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0.84</w:t>
                  </w:r>
                </w:p>
              </w:tc>
              <w:tc>
                <w:tcPr>
                  <w:tcW w:w="825"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eastAsia="宋体"/>
                      <w:spacing w:val="-6"/>
                      <w:szCs w:val="21"/>
                      <w:lang w:val="en-US" w:eastAsia="zh-CN"/>
                    </w:rPr>
                  </w:pPr>
                  <w:r>
                    <w:rPr>
                      <w:rFonts w:hint="eastAsia"/>
                      <w:spacing w:val="-6"/>
                      <w:szCs w:val="21"/>
                      <w:lang w:val="en-US" w:eastAsia="zh-CN"/>
                    </w:rPr>
                    <w:t>/</w:t>
                  </w:r>
                </w:p>
              </w:tc>
              <w:tc>
                <w:tcPr>
                  <w:tcW w:w="3060" w:type="dxa"/>
                  <w:gridSpan w:val="2"/>
                  <w:vMerge w:val="continue"/>
                  <w:tcBorders>
                    <w:left w:val="single" w:color="000000"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701" w:type="dxa"/>
                  <w:vMerge w:val="continue"/>
                  <w:tcBorders>
                    <w:left w:val="single" w:color="auto"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750" w:type="dxa"/>
                  <w:vMerge w:val="continue"/>
                  <w:tcBorders>
                    <w:left w:val="single" w:color="000000"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810" w:type="dxa"/>
                  <w:vMerge w:val="continue"/>
                  <w:tcBorders>
                    <w:left w:val="single" w:color="000000" w:sz="4" w:space="0"/>
                    <w:bottom w:val="single" w:color="auto" w:sz="4" w:space="0"/>
                    <w:right w:val="single" w:color="auto" w:sz="4" w:space="0"/>
                  </w:tcBorders>
                  <w:noWrap w:val="0"/>
                  <w:vAlign w:val="center"/>
                </w:tcPr>
                <w:p>
                  <w:pPr>
                    <w:spacing w:line="360" w:lineRule="exact"/>
                    <w:jc w:val="center"/>
                    <w:rPr>
                      <w:rFonts w:hint="eastAsia"/>
                      <w:spacing w:val="-6"/>
                      <w:szCs w:val="21"/>
                    </w:rPr>
                  </w:pPr>
                </w:p>
              </w:tc>
            </w:tr>
          </w:tbl>
          <w:p>
            <w:pPr>
              <w:spacing w:line="520" w:lineRule="exact"/>
              <w:ind w:firstLine="482"/>
              <w:rPr>
                <w:bCs/>
                <w:sz w:val="24"/>
              </w:rPr>
            </w:pPr>
            <w:r>
              <w:rPr>
                <w:bCs/>
                <w:sz w:val="24"/>
              </w:rPr>
              <w:t>（</w:t>
            </w:r>
            <w:r>
              <w:rPr>
                <w:rFonts w:hint="eastAsia"/>
                <w:bCs/>
                <w:sz w:val="24"/>
                <w:lang w:val="en-US" w:eastAsia="zh-CN"/>
              </w:rPr>
              <w:t>4</w:t>
            </w:r>
            <w:r>
              <w:rPr>
                <w:bCs/>
                <w:sz w:val="24"/>
              </w:rPr>
              <w:t>）道路扬尘</w:t>
            </w:r>
          </w:p>
          <w:p>
            <w:pPr>
              <w:adjustRightInd w:val="0"/>
              <w:spacing w:line="520" w:lineRule="exact"/>
              <w:ind w:firstLine="480" w:firstLineChars="200"/>
              <w:rPr>
                <w:sz w:val="24"/>
              </w:rPr>
            </w:pPr>
            <w:r>
              <w:rPr>
                <w:sz w:val="24"/>
              </w:rPr>
              <w:t>本工程原料和产品均采用汽车运输。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adjustRightInd w:val="0"/>
              <w:spacing w:line="520" w:lineRule="exact"/>
              <w:jc w:val="center"/>
              <w:rPr>
                <w:sz w:val="24"/>
              </w:rPr>
            </w:pPr>
            <w:r>
              <w:rPr>
                <w:position w:val="-10"/>
                <w:sz w:val="24"/>
              </w:rPr>
              <w:object>
                <v:shape id="_x0000_i1025" o:spt="75" type="#_x0000_t75" style="height:18pt;width:185.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pPr>
              <w:adjustRightInd w:val="0"/>
              <w:spacing w:line="520" w:lineRule="exact"/>
              <w:ind w:firstLine="480" w:firstLineChars="200"/>
              <w:rPr>
                <w:sz w:val="24"/>
              </w:rPr>
            </w:pPr>
            <w:r>
              <w:rPr>
                <w:sz w:val="24"/>
              </w:rPr>
              <w:t>式中：</w:t>
            </w:r>
            <w:r>
              <w:rPr>
                <w:position w:val="-10"/>
                <w:sz w:val="24"/>
              </w:rPr>
              <w:object>
                <v:shape id="_x0000_i1026" o:spt="75" type="#_x0000_t75" style="height:15.75pt;width:1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sz w:val="24"/>
              </w:rPr>
              <w:t>——汽车行驶扬尘量（kg/km，辆）；</w:t>
            </w:r>
          </w:p>
          <w:p>
            <w:pPr>
              <w:adjustRightInd w:val="0"/>
              <w:spacing w:line="520" w:lineRule="exact"/>
              <w:ind w:firstLine="480" w:firstLineChars="200"/>
              <w:rPr>
                <w:sz w:val="24"/>
              </w:rPr>
            </w:pPr>
            <w:r>
              <w:rPr>
                <w:position w:val="-6"/>
                <w:sz w:val="24"/>
              </w:rPr>
              <w:object>
                <v:shape id="_x0000_i1027" o:spt="75" type="#_x0000_t75" style="height:14.25pt;width:1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z w:val="24"/>
              </w:rPr>
              <w:t>——汽车速度（km/h）；</w:t>
            </w:r>
          </w:p>
          <w:p>
            <w:pPr>
              <w:adjustRightInd w:val="0"/>
              <w:spacing w:line="520" w:lineRule="exact"/>
              <w:ind w:firstLine="480" w:firstLineChars="200"/>
              <w:rPr>
                <w:sz w:val="24"/>
              </w:rPr>
            </w:pPr>
            <w:r>
              <w:rPr>
                <w:position w:val="-6"/>
                <w:sz w:val="24"/>
              </w:rPr>
              <w:object>
                <v:shape id="_x0000_i1028" o:spt="75" type="#_x0000_t75" style="height:14.25pt;width:14.2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sz w:val="24"/>
              </w:rPr>
              <w:t>——汽车质量（t）；</w:t>
            </w:r>
          </w:p>
          <w:p>
            <w:pPr>
              <w:adjustRightInd w:val="0"/>
              <w:spacing w:line="520" w:lineRule="exact"/>
              <w:ind w:firstLine="480" w:firstLineChars="200"/>
              <w:rPr>
                <w:sz w:val="24"/>
              </w:rPr>
            </w:pPr>
            <w:r>
              <w:rPr>
                <w:position w:val="-4"/>
                <w:sz w:val="24"/>
              </w:rPr>
              <w:object>
                <v:shape id="_x0000_i1029" o:spt="75" type="#_x0000_t75" style="height:12.75pt;width:12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sz w:val="24"/>
              </w:rPr>
              <w:t>——道路表面粉尘量（kg/m</w:t>
            </w:r>
            <w:r>
              <w:rPr>
                <w:sz w:val="24"/>
                <w:vertAlign w:val="superscript"/>
              </w:rPr>
              <w:t>2</w:t>
            </w:r>
            <w:r>
              <w:rPr>
                <w:sz w:val="24"/>
              </w:rPr>
              <w:t>），取0.60。</w:t>
            </w:r>
          </w:p>
          <w:p>
            <w:pPr>
              <w:adjustRightInd w:val="0"/>
              <w:spacing w:line="520" w:lineRule="exact"/>
              <w:ind w:firstLine="480" w:firstLineChars="200"/>
              <w:rPr>
                <w:sz w:val="24"/>
              </w:rPr>
            </w:pPr>
            <w:r>
              <w:rPr>
                <w:sz w:val="24"/>
              </w:rPr>
              <w:t>由上述计算公式计算，汽车行驶过程中扬尘量的预测结果见表</w:t>
            </w:r>
            <w:r>
              <w:rPr>
                <w:rFonts w:hint="eastAsia"/>
                <w:sz w:val="24"/>
              </w:rPr>
              <w:t>2</w:t>
            </w:r>
            <w:r>
              <w:rPr>
                <w:rFonts w:hint="eastAsia"/>
                <w:sz w:val="24"/>
                <w:lang w:val="en-US" w:eastAsia="zh-CN"/>
              </w:rPr>
              <w:t>2</w:t>
            </w:r>
            <w:r>
              <w:rPr>
                <w:sz w:val="24"/>
              </w:rPr>
              <w:t>。</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22</w:t>
            </w:r>
            <w:r>
              <w:rPr>
                <w:rFonts w:eastAsia="黑体"/>
                <w:kern w:val="0"/>
                <w:sz w:val="24"/>
                <w:lang w:val="zh-CN"/>
              </w:rPr>
              <w:t xml:space="preserve">              汽车运输道路扬尘量预测结果</w:t>
            </w:r>
          </w:p>
          <w:tbl>
            <w:tblPr>
              <w:tblStyle w:val="32"/>
              <w:tblW w:w="87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1871"/>
              <w:gridCol w:w="2330"/>
              <w:gridCol w:w="26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noWrap/>
                  <w:vAlign w:val="center"/>
                </w:tcPr>
                <w:p>
                  <w:pPr>
                    <w:adjustRightInd w:val="0"/>
                    <w:snapToGrid w:val="0"/>
                    <w:spacing w:line="320" w:lineRule="exact"/>
                    <w:jc w:val="center"/>
                    <w:rPr>
                      <w:szCs w:val="21"/>
                    </w:rPr>
                  </w:pPr>
                  <w:r>
                    <w:rPr>
                      <w:szCs w:val="21"/>
                    </w:rPr>
                    <w:t>汽车平均速度</w:t>
                  </w:r>
                </w:p>
                <w:p>
                  <w:pPr>
                    <w:adjustRightInd w:val="0"/>
                    <w:snapToGrid w:val="0"/>
                    <w:spacing w:line="320" w:lineRule="exact"/>
                    <w:jc w:val="center"/>
                    <w:rPr>
                      <w:szCs w:val="21"/>
                    </w:rPr>
                  </w:pPr>
                  <w:r>
                    <w:rPr>
                      <w:szCs w:val="21"/>
                    </w:rPr>
                    <w:t>（km/h）</w:t>
                  </w:r>
                </w:p>
              </w:tc>
              <w:tc>
                <w:tcPr>
                  <w:tcW w:w="1871" w:type="dxa"/>
                  <w:noWrap/>
                  <w:vAlign w:val="center"/>
                </w:tcPr>
                <w:p>
                  <w:pPr>
                    <w:adjustRightInd w:val="0"/>
                    <w:snapToGrid w:val="0"/>
                    <w:spacing w:line="320" w:lineRule="exact"/>
                    <w:jc w:val="center"/>
                    <w:rPr>
                      <w:szCs w:val="21"/>
                    </w:rPr>
                  </w:pPr>
                  <w:r>
                    <w:rPr>
                      <w:szCs w:val="21"/>
                    </w:rPr>
                    <w:t>汽车平均质量</w:t>
                  </w:r>
                </w:p>
                <w:p>
                  <w:pPr>
                    <w:adjustRightInd w:val="0"/>
                    <w:snapToGrid w:val="0"/>
                    <w:spacing w:line="320" w:lineRule="exact"/>
                    <w:jc w:val="center"/>
                    <w:rPr>
                      <w:szCs w:val="21"/>
                    </w:rPr>
                  </w:pPr>
                  <w:r>
                    <w:rPr>
                      <w:szCs w:val="21"/>
                    </w:rPr>
                    <w:t>（t）</w:t>
                  </w:r>
                </w:p>
              </w:tc>
              <w:tc>
                <w:tcPr>
                  <w:tcW w:w="2330" w:type="dxa"/>
                  <w:noWrap/>
                  <w:vAlign w:val="center"/>
                </w:tcPr>
                <w:p>
                  <w:pPr>
                    <w:adjustRightInd w:val="0"/>
                    <w:snapToGrid w:val="0"/>
                    <w:spacing w:line="320" w:lineRule="exact"/>
                    <w:jc w:val="center"/>
                    <w:rPr>
                      <w:szCs w:val="21"/>
                    </w:rPr>
                  </w:pPr>
                  <w:r>
                    <w:rPr>
                      <w:szCs w:val="21"/>
                    </w:rPr>
                    <w:t>道路表面粉尘量（kg/m</w:t>
                  </w:r>
                  <w:r>
                    <w:rPr>
                      <w:szCs w:val="21"/>
                      <w:vertAlign w:val="superscript"/>
                    </w:rPr>
                    <w:t>2</w:t>
                  </w:r>
                  <w:r>
                    <w:rPr>
                      <w:szCs w:val="21"/>
                    </w:rPr>
                    <w:t>）</w:t>
                  </w:r>
                </w:p>
              </w:tc>
              <w:tc>
                <w:tcPr>
                  <w:tcW w:w="2620" w:type="dxa"/>
                  <w:noWrap/>
                  <w:vAlign w:val="center"/>
                </w:tcPr>
                <w:p>
                  <w:pPr>
                    <w:adjustRightInd w:val="0"/>
                    <w:snapToGrid w:val="0"/>
                    <w:spacing w:line="320" w:lineRule="exact"/>
                    <w:jc w:val="center"/>
                    <w:rPr>
                      <w:szCs w:val="21"/>
                    </w:rPr>
                  </w:pPr>
                  <w:r>
                    <w:rPr>
                      <w:szCs w:val="21"/>
                    </w:rPr>
                    <w:t>汽车扬尘量预测值</w:t>
                  </w:r>
                </w:p>
                <w:p>
                  <w:pPr>
                    <w:adjustRightInd w:val="0"/>
                    <w:snapToGrid w:val="0"/>
                    <w:spacing w:line="320" w:lineRule="exact"/>
                    <w:jc w:val="center"/>
                    <w:rPr>
                      <w:szCs w:val="21"/>
                    </w:rPr>
                  </w:pPr>
                  <w:r>
                    <w:rPr>
                      <w:szCs w:val="21"/>
                    </w:rPr>
                    <w:t>（kg/km·辆）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shd w:val="clear" w:color="auto" w:fill="auto"/>
                  <w:noWrap/>
                  <w:vAlign w:val="center"/>
                </w:tcPr>
                <w:p>
                  <w:pPr>
                    <w:adjustRightInd w:val="0"/>
                    <w:snapToGrid w:val="0"/>
                    <w:spacing w:line="320" w:lineRule="exact"/>
                    <w:jc w:val="center"/>
                    <w:rPr>
                      <w:szCs w:val="21"/>
                    </w:rPr>
                  </w:pPr>
                  <w:r>
                    <w:rPr>
                      <w:szCs w:val="21"/>
                    </w:rPr>
                    <w:t>5</w:t>
                  </w:r>
                </w:p>
              </w:tc>
              <w:tc>
                <w:tcPr>
                  <w:tcW w:w="1871" w:type="dxa"/>
                  <w:shd w:val="clear" w:color="auto" w:fill="auto"/>
                  <w:noWrap/>
                  <w:vAlign w:val="center"/>
                </w:tcPr>
                <w:p>
                  <w:pPr>
                    <w:adjustRightInd w:val="0"/>
                    <w:snapToGrid w:val="0"/>
                    <w:spacing w:line="320" w:lineRule="exact"/>
                    <w:jc w:val="center"/>
                    <w:rPr>
                      <w:szCs w:val="21"/>
                    </w:rPr>
                  </w:pPr>
                  <w:r>
                    <w:rPr>
                      <w:szCs w:val="21"/>
                    </w:rPr>
                    <w:t>30</w:t>
                  </w:r>
                </w:p>
              </w:tc>
              <w:tc>
                <w:tcPr>
                  <w:tcW w:w="2330" w:type="dxa"/>
                  <w:shd w:val="clear" w:color="auto" w:fill="auto"/>
                  <w:noWrap/>
                  <w:vAlign w:val="center"/>
                </w:tcPr>
                <w:p>
                  <w:pPr>
                    <w:adjustRightInd w:val="0"/>
                    <w:snapToGrid w:val="0"/>
                    <w:spacing w:line="320" w:lineRule="exact"/>
                    <w:jc w:val="center"/>
                    <w:rPr>
                      <w:szCs w:val="21"/>
                    </w:rPr>
                  </w:pPr>
                  <w:r>
                    <w:rPr>
                      <w:szCs w:val="21"/>
                    </w:rPr>
                    <w:t>0.60</w:t>
                  </w:r>
                </w:p>
              </w:tc>
              <w:tc>
                <w:tcPr>
                  <w:tcW w:w="2620" w:type="dxa"/>
                  <w:shd w:val="clear" w:color="auto" w:fill="FFFFFF"/>
                  <w:noWrap/>
                  <w:vAlign w:val="center"/>
                </w:tcPr>
                <w:p>
                  <w:pPr>
                    <w:adjustRightInd w:val="0"/>
                    <w:snapToGrid w:val="0"/>
                    <w:spacing w:line="276" w:lineRule="auto"/>
                    <w:jc w:val="center"/>
                    <w:rPr>
                      <w:szCs w:val="21"/>
                    </w:rPr>
                  </w:pPr>
                  <w:r>
                    <w:rPr>
                      <w:szCs w:val="21"/>
                    </w:rPr>
                    <w:t>0.49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shd w:val="clear" w:color="auto" w:fill="auto"/>
                  <w:noWrap/>
                  <w:vAlign w:val="center"/>
                </w:tcPr>
                <w:p>
                  <w:pPr>
                    <w:adjustRightInd w:val="0"/>
                    <w:snapToGrid w:val="0"/>
                    <w:spacing w:line="320" w:lineRule="exact"/>
                    <w:jc w:val="center"/>
                    <w:rPr>
                      <w:szCs w:val="21"/>
                    </w:rPr>
                  </w:pPr>
                  <w:r>
                    <w:rPr>
                      <w:szCs w:val="21"/>
                    </w:rPr>
                    <w:t>10</w:t>
                  </w:r>
                </w:p>
              </w:tc>
              <w:tc>
                <w:tcPr>
                  <w:tcW w:w="1871" w:type="dxa"/>
                  <w:shd w:val="clear" w:color="auto" w:fill="auto"/>
                  <w:noWrap/>
                  <w:vAlign w:val="center"/>
                </w:tcPr>
                <w:p>
                  <w:pPr>
                    <w:adjustRightInd w:val="0"/>
                    <w:snapToGrid w:val="0"/>
                    <w:spacing w:line="320" w:lineRule="exact"/>
                    <w:jc w:val="center"/>
                    <w:rPr>
                      <w:szCs w:val="21"/>
                    </w:rPr>
                  </w:pPr>
                  <w:r>
                    <w:rPr>
                      <w:szCs w:val="21"/>
                    </w:rPr>
                    <w:t>30</w:t>
                  </w:r>
                </w:p>
              </w:tc>
              <w:tc>
                <w:tcPr>
                  <w:tcW w:w="2330" w:type="dxa"/>
                  <w:shd w:val="clear" w:color="auto" w:fill="auto"/>
                  <w:noWrap/>
                  <w:vAlign w:val="center"/>
                </w:tcPr>
                <w:p>
                  <w:pPr>
                    <w:adjustRightInd w:val="0"/>
                    <w:snapToGrid w:val="0"/>
                    <w:spacing w:line="320" w:lineRule="exact"/>
                    <w:jc w:val="center"/>
                    <w:rPr>
                      <w:szCs w:val="21"/>
                    </w:rPr>
                  </w:pPr>
                  <w:r>
                    <w:rPr>
                      <w:szCs w:val="21"/>
                    </w:rPr>
                    <w:t>0.60</w:t>
                  </w:r>
                </w:p>
              </w:tc>
              <w:tc>
                <w:tcPr>
                  <w:tcW w:w="2620" w:type="dxa"/>
                  <w:shd w:val="clear" w:color="auto" w:fill="FFFFFF"/>
                  <w:noWrap/>
                  <w:vAlign w:val="center"/>
                </w:tcPr>
                <w:p>
                  <w:pPr>
                    <w:adjustRightInd w:val="0"/>
                    <w:snapToGrid w:val="0"/>
                    <w:spacing w:line="276" w:lineRule="auto"/>
                    <w:jc w:val="center"/>
                    <w:rPr>
                      <w:szCs w:val="21"/>
                    </w:rPr>
                  </w:pPr>
                  <w:r>
                    <w:rPr>
                      <w:szCs w:val="21"/>
                    </w:rPr>
                    <w:t>0.98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shd w:val="clear" w:color="auto" w:fill="auto"/>
                  <w:noWrap/>
                  <w:vAlign w:val="center"/>
                </w:tcPr>
                <w:p>
                  <w:pPr>
                    <w:adjustRightInd w:val="0"/>
                    <w:snapToGrid w:val="0"/>
                    <w:spacing w:line="320" w:lineRule="exact"/>
                    <w:jc w:val="center"/>
                    <w:rPr>
                      <w:szCs w:val="21"/>
                    </w:rPr>
                  </w:pPr>
                  <w:r>
                    <w:rPr>
                      <w:szCs w:val="21"/>
                    </w:rPr>
                    <w:t>20</w:t>
                  </w:r>
                </w:p>
              </w:tc>
              <w:tc>
                <w:tcPr>
                  <w:tcW w:w="1871" w:type="dxa"/>
                  <w:shd w:val="clear" w:color="auto" w:fill="auto"/>
                  <w:noWrap/>
                  <w:vAlign w:val="center"/>
                </w:tcPr>
                <w:p>
                  <w:pPr>
                    <w:adjustRightInd w:val="0"/>
                    <w:snapToGrid w:val="0"/>
                    <w:spacing w:line="320" w:lineRule="exact"/>
                    <w:jc w:val="center"/>
                    <w:rPr>
                      <w:szCs w:val="21"/>
                    </w:rPr>
                  </w:pPr>
                  <w:r>
                    <w:rPr>
                      <w:szCs w:val="21"/>
                    </w:rPr>
                    <w:t>30</w:t>
                  </w:r>
                </w:p>
              </w:tc>
              <w:tc>
                <w:tcPr>
                  <w:tcW w:w="2330" w:type="dxa"/>
                  <w:shd w:val="clear" w:color="auto" w:fill="auto"/>
                  <w:noWrap/>
                  <w:vAlign w:val="center"/>
                </w:tcPr>
                <w:p>
                  <w:pPr>
                    <w:adjustRightInd w:val="0"/>
                    <w:snapToGrid w:val="0"/>
                    <w:spacing w:line="320" w:lineRule="exact"/>
                    <w:jc w:val="center"/>
                    <w:rPr>
                      <w:szCs w:val="21"/>
                    </w:rPr>
                  </w:pPr>
                  <w:r>
                    <w:rPr>
                      <w:szCs w:val="21"/>
                    </w:rPr>
                    <w:t>0.60</w:t>
                  </w:r>
                </w:p>
              </w:tc>
              <w:tc>
                <w:tcPr>
                  <w:tcW w:w="2620" w:type="dxa"/>
                  <w:shd w:val="clear" w:color="auto" w:fill="FFFFFF"/>
                  <w:noWrap/>
                  <w:vAlign w:val="center"/>
                </w:tcPr>
                <w:p>
                  <w:pPr>
                    <w:adjustRightInd w:val="0"/>
                    <w:snapToGrid w:val="0"/>
                    <w:spacing w:line="276" w:lineRule="auto"/>
                    <w:jc w:val="center"/>
                    <w:rPr>
                      <w:szCs w:val="21"/>
                    </w:rPr>
                  </w:pPr>
                  <w:r>
                    <w:rPr>
                      <w:szCs w:val="21"/>
                    </w:rPr>
                    <w:t>1.96</w:t>
                  </w:r>
                </w:p>
              </w:tc>
            </w:tr>
          </w:tbl>
          <w:p>
            <w:pPr>
              <w:adjustRightInd w:val="0"/>
              <w:spacing w:line="520" w:lineRule="exact"/>
              <w:ind w:firstLine="480" w:firstLineChars="200"/>
              <w:rPr>
                <w:sz w:val="24"/>
              </w:rPr>
            </w:pPr>
            <w:r>
              <w:rPr>
                <w:sz w:val="24"/>
              </w:rPr>
              <w:t>工程车流量：骨料砂子、石沫运输量为</w:t>
            </w:r>
            <w:r>
              <w:rPr>
                <w:rFonts w:hint="eastAsia"/>
                <w:sz w:val="24"/>
                <w:lang w:val="en-US" w:eastAsia="zh-CN"/>
              </w:rPr>
              <w:t>36</w:t>
            </w:r>
            <w:r>
              <w:rPr>
                <w:rFonts w:hint="eastAsia"/>
                <w:sz w:val="24"/>
              </w:rPr>
              <w:t>500</w:t>
            </w:r>
            <w:r>
              <w:rPr>
                <w:sz w:val="24"/>
              </w:rPr>
              <w:t>t，单车每次运输量按30t计算，运输车辆为</w:t>
            </w:r>
            <w:r>
              <w:rPr>
                <w:rFonts w:hint="eastAsia"/>
                <w:sz w:val="24"/>
                <w:lang w:val="en-US" w:eastAsia="zh-CN"/>
              </w:rPr>
              <w:t>1217</w:t>
            </w:r>
            <w:r>
              <w:rPr>
                <w:sz w:val="24"/>
              </w:rPr>
              <w:t>车次；粉料</w:t>
            </w:r>
            <w:r>
              <w:rPr>
                <w:rFonts w:hint="eastAsia"/>
                <w:sz w:val="24"/>
                <w:lang w:eastAsia="zh-CN"/>
              </w:rPr>
              <w:t>粉煤灰</w:t>
            </w:r>
            <w:r>
              <w:rPr>
                <w:sz w:val="24"/>
              </w:rPr>
              <w:t>、水泥</w:t>
            </w:r>
            <w:r>
              <w:rPr>
                <w:bCs/>
                <w:iCs/>
                <w:sz w:val="24"/>
              </w:rPr>
              <w:t>运输量</w:t>
            </w:r>
            <w:r>
              <w:rPr>
                <w:sz w:val="24"/>
              </w:rPr>
              <w:t>为</w:t>
            </w:r>
            <w:r>
              <w:rPr>
                <w:rFonts w:hint="eastAsia"/>
                <w:sz w:val="24"/>
                <w:lang w:val="en-US" w:eastAsia="zh-CN"/>
              </w:rPr>
              <w:t>13</w:t>
            </w:r>
            <w:r>
              <w:rPr>
                <w:rFonts w:hint="eastAsia"/>
                <w:sz w:val="24"/>
              </w:rPr>
              <w:t>5</w:t>
            </w:r>
            <w:r>
              <w:rPr>
                <w:sz w:val="24"/>
              </w:rPr>
              <w:t>00t，单车每次运输量按</w:t>
            </w:r>
            <w:r>
              <w:rPr>
                <w:rFonts w:hint="eastAsia"/>
                <w:sz w:val="24"/>
              </w:rPr>
              <w:t>3</w:t>
            </w:r>
            <w:r>
              <w:rPr>
                <w:sz w:val="24"/>
              </w:rPr>
              <w:t>0t计算，每天运输车辆为</w:t>
            </w:r>
            <w:r>
              <w:rPr>
                <w:rFonts w:hint="eastAsia"/>
                <w:sz w:val="24"/>
                <w:lang w:val="en-US" w:eastAsia="zh-CN"/>
              </w:rPr>
              <w:t>4</w:t>
            </w:r>
            <w:r>
              <w:rPr>
                <w:rFonts w:hint="eastAsia"/>
                <w:sz w:val="24"/>
              </w:rPr>
              <w:t>50</w:t>
            </w:r>
            <w:r>
              <w:rPr>
                <w:sz w:val="24"/>
              </w:rPr>
              <w:t>车次，以上合计运输车辆为</w:t>
            </w:r>
            <w:r>
              <w:rPr>
                <w:rFonts w:hint="eastAsia"/>
                <w:sz w:val="24"/>
              </w:rPr>
              <w:t>1667</w:t>
            </w:r>
            <w:r>
              <w:rPr>
                <w:sz w:val="24"/>
              </w:rPr>
              <w:t>车次，其产品外运参照原料运输，则全厂合计运输车次</w:t>
            </w:r>
            <w:r>
              <w:rPr>
                <w:rFonts w:hint="eastAsia"/>
                <w:sz w:val="24"/>
              </w:rPr>
              <w:t>3334</w:t>
            </w:r>
            <w:r>
              <w:rPr>
                <w:sz w:val="24"/>
              </w:rPr>
              <w:t>次。汽车扬尘量以0.49kg/km·辆计，在厂区内行驶距离以100m计，则汽车在厂区内行驶过程的扬尘量为0.1</w:t>
            </w:r>
            <w:r>
              <w:rPr>
                <w:rFonts w:hint="eastAsia"/>
                <w:sz w:val="24"/>
              </w:rPr>
              <w:t>63</w:t>
            </w:r>
            <w:r>
              <w:rPr>
                <w:sz w:val="24"/>
              </w:rPr>
              <w:t>t/a。为了最大限度减少原材料运输带来的不利影响，评价建议采取如下措施：</w:t>
            </w:r>
          </w:p>
          <w:p>
            <w:pPr>
              <w:adjustRightInd w:val="0"/>
              <w:spacing w:line="520" w:lineRule="exact"/>
              <w:ind w:firstLine="482" w:firstLineChars="200"/>
              <w:rPr>
                <w:b/>
                <w:bCs/>
                <w:sz w:val="24"/>
                <w:u w:val="single"/>
              </w:rPr>
            </w:pPr>
            <w:r>
              <w:rPr>
                <w:b/>
                <w:bCs/>
                <w:sz w:val="24"/>
                <w:u w:val="single"/>
              </w:rPr>
              <w:t>①</w:t>
            </w:r>
            <w:r>
              <w:rPr>
                <w:rFonts w:hint="eastAsia"/>
                <w:b/>
                <w:bCs/>
                <w:sz w:val="24"/>
                <w:u w:val="single"/>
                <w:lang w:eastAsia="zh-CN"/>
              </w:rPr>
              <w:t>厂区道路硬化，</w:t>
            </w:r>
            <w:r>
              <w:rPr>
                <w:b/>
                <w:bCs/>
                <w:sz w:val="24"/>
                <w:u w:val="single"/>
              </w:rPr>
              <w:t>及时对厂区内地面进行洒水降尘，保持厂区道路完好和清洁，车辆行驶时应无明显可见扬尘；</w:t>
            </w:r>
          </w:p>
          <w:p>
            <w:pPr>
              <w:spacing w:line="520" w:lineRule="exact"/>
              <w:ind w:firstLine="480" w:firstLineChars="200"/>
              <w:rPr>
                <w:kern w:val="28"/>
                <w:sz w:val="24"/>
                <w:szCs w:val="28"/>
              </w:rPr>
            </w:pPr>
            <w:r>
              <w:rPr>
                <w:kern w:val="28"/>
                <w:sz w:val="24"/>
                <w:szCs w:val="28"/>
              </w:rPr>
              <w:t>②水泥</w:t>
            </w:r>
            <w:r>
              <w:rPr>
                <w:rFonts w:hint="eastAsia"/>
                <w:kern w:val="28"/>
                <w:sz w:val="24"/>
                <w:szCs w:val="28"/>
                <w:lang w:eastAsia="zh-CN"/>
              </w:rPr>
              <w:t>、粉煤灰</w:t>
            </w:r>
            <w:r>
              <w:rPr>
                <w:kern w:val="28"/>
                <w:sz w:val="24"/>
                <w:szCs w:val="28"/>
              </w:rPr>
              <w:t>采用罐车运输，并采用气流泵输送原料入罐，不露天存放。</w:t>
            </w:r>
          </w:p>
          <w:p>
            <w:pPr>
              <w:spacing w:line="520" w:lineRule="exact"/>
              <w:ind w:firstLine="480" w:firstLineChars="200"/>
              <w:rPr>
                <w:kern w:val="28"/>
                <w:sz w:val="24"/>
                <w:szCs w:val="28"/>
              </w:rPr>
            </w:pPr>
            <w:r>
              <w:rPr>
                <w:kern w:val="28"/>
                <w:sz w:val="24"/>
                <w:szCs w:val="28"/>
              </w:rPr>
              <w:t>③石沫、沙子装卸、转运、暂存均在密闭车间内，不得露天堆放。</w:t>
            </w:r>
          </w:p>
          <w:p>
            <w:pPr>
              <w:spacing w:line="520" w:lineRule="exact"/>
              <w:ind w:firstLine="480" w:firstLineChars="200"/>
              <w:rPr>
                <w:kern w:val="28"/>
                <w:sz w:val="24"/>
                <w:szCs w:val="28"/>
              </w:rPr>
            </w:pPr>
            <w:r>
              <w:rPr>
                <w:kern w:val="28"/>
                <w:sz w:val="24"/>
                <w:szCs w:val="28"/>
              </w:rPr>
              <w:t>④合理布置厂区，有效缩短车辆在厂区内行驶距离。</w:t>
            </w:r>
          </w:p>
          <w:p>
            <w:pPr>
              <w:spacing w:line="520" w:lineRule="exact"/>
              <w:ind w:firstLine="480" w:firstLineChars="200"/>
              <w:rPr>
                <w:kern w:val="28"/>
                <w:sz w:val="24"/>
                <w:szCs w:val="28"/>
              </w:rPr>
            </w:pPr>
            <w:r>
              <w:rPr>
                <w:kern w:val="28"/>
                <w:sz w:val="24"/>
                <w:szCs w:val="28"/>
              </w:rPr>
              <w:t>⑤在厂区进出口设置车辆自动冲洗装置，对进出厂区的车辆轮胎进行冲洗，避免车辆带泥上路。</w:t>
            </w:r>
          </w:p>
          <w:p>
            <w:pPr>
              <w:spacing w:line="520" w:lineRule="exact"/>
              <w:ind w:firstLine="482" w:firstLineChars="200"/>
              <w:rPr>
                <w:b/>
                <w:bCs/>
                <w:kern w:val="28"/>
                <w:sz w:val="24"/>
                <w:szCs w:val="28"/>
                <w:u w:val="single"/>
              </w:rPr>
            </w:pPr>
            <w:r>
              <w:rPr>
                <w:b/>
                <w:bCs/>
                <w:kern w:val="28"/>
                <w:sz w:val="24"/>
                <w:szCs w:val="28"/>
                <w:u w:val="single"/>
              </w:rPr>
              <w:t>⑥在石沫、沙子的储存区、转载点设置</w:t>
            </w:r>
            <w:r>
              <w:rPr>
                <w:rFonts w:hint="eastAsia"/>
                <w:b/>
                <w:bCs/>
                <w:kern w:val="28"/>
                <w:sz w:val="24"/>
                <w:szCs w:val="28"/>
                <w:u w:val="single"/>
                <w:lang w:eastAsia="zh-CN"/>
              </w:rPr>
              <w:t>密闭罩及喷干雾</w:t>
            </w:r>
            <w:r>
              <w:rPr>
                <w:b/>
                <w:bCs/>
                <w:kern w:val="28"/>
                <w:sz w:val="24"/>
                <w:szCs w:val="28"/>
                <w:u w:val="single"/>
              </w:rPr>
              <w:t>洒水装置</w:t>
            </w:r>
            <w:r>
              <w:rPr>
                <w:rFonts w:hint="eastAsia"/>
                <w:b/>
                <w:bCs/>
                <w:kern w:val="28"/>
                <w:sz w:val="24"/>
                <w:szCs w:val="28"/>
                <w:u w:val="single"/>
                <w:lang w:eastAsia="zh-CN"/>
              </w:rPr>
              <w:t>；生产设备全部安装在全封闭的生产车间内，</w:t>
            </w:r>
            <w:r>
              <w:rPr>
                <w:b/>
                <w:bCs/>
                <w:kern w:val="28"/>
                <w:sz w:val="24"/>
                <w:szCs w:val="28"/>
                <w:u w:val="single"/>
              </w:rPr>
              <w:t>投料、装料、转载过程喷洒水雾，洒水抑尘，减少</w:t>
            </w:r>
            <w:r>
              <w:rPr>
                <w:rFonts w:hint="eastAsia"/>
                <w:b/>
                <w:bCs/>
                <w:kern w:val="28"/>
                <w:sz w:val="24"/>
                <w:szCs w:val="28"/>
                <w:u w:val="single"/>
                <w:lang w:eastAsia="zh-CN"/>
              </w:rPr>
              <w:t>颗粒物</w:t>
            </w:r>
            <w:r>
              <w:rPr>
                <w:b/>
                <w:bCs/>
                <w:kern w:val="28"/>
                <w:sz w:val="24"/>
                <w:szCs w:val="28"/>
                <w:u w:val="single"/>
              </w:rPr>
              <w:t>的产生与排放量。</w:t>
            </w:r>
          </w:p>
          <w:p>
            <w:pPr>
              <w:spacing w:line="520" w:lineRule="exact"/>
              <w:ind w:firstLine="482" w:firstLineChars="200"/>
              <w:rPr>
                <w:b/>
                <w:bCs/>
                <w:kern w:val="28"/>
                <w:sz w:val="24"/>
                <w:szCs w:val="28"/>
                <w:u w:val="single"/>
              </w:rPr>
            </w:pPr>
            <w:r>
              <w:rPr>
                <w:b/>
                <w:bCs/>
                <w:kern w:val="28"/>
                <w:sz w:val="24"/>
                <w:szCs w:val="28"/>
                <w:u w:val="single"/>
              </w:rPr>
              <w:t>⑦对厂区道路、养护区等地面进行硬化，并安排专人对厂区道路及时清扫及洒水抑尘，减少道路表面</w:t>
            </w:r>
            <w:r>
              <w:rPr>
                <w:rFonts w:hint="eastAsia"/>
                <w:b/>
                <w:bCs/>
                <w:kern w:val="28"/>
                <w:sz w:val="24"/>
                <w:szCs w:val="28"/>
                <w:u w:val="single"/>
                <w:lang w:eastAsia="zh-CN"/>
              </w:rPr>
              <w:t>积</w:t>
            </w:r>
            <w:r>
              <w:rPr>
                <w:b/>
                <w:bCs/>
                <w:kern w:val="28"/>
                <w:sz w:val="24"/>
                <w:szCs w:val="28"/>
                <w:u w:val="single"/>
              </w:rPr>
              <w:t>尘量，抑制</w:t>
            </w:r>
            <w:r>
              <w:rPr>
                <w:rFonts w:hint="eastAsia"/>
                <w:b/>
                <w:bCs/>
                <w:kern w:val="28"/>
                <w:sz w:val="24"/>
                <w:szCs w:val="28"/>
                <w:u w:val="single"/>
                <w:lang w:eastAsia="zh-CN"/>
              </w:rPr>
              <w:t>颗粒物</w:t>
            </w:r>
            <w:r>
              <w:rPr>
                <w:b/>
                <w:bCs/>
                <w:kern w:val="28"/>
                <w:sz w:val="24"/>
                <w:szCs w:val="28"/>
                <w:u w:val="single"/>
              </w:rPr>
              <w:t>产生。</w:t>
            </w:r>
          </w:p>
          <w:p>
            <w:pPr>
              <w:spacing w:line="520" w:lineRule="exact"/>
              <w:ind w:firstLine="480" w:firstLineChars="200"/>
              <w:rPr>
                <w:kern w:val="28"/>
                <w:sz w:val="24"/>
                <w:szCs w:val="28"/>
              </w:rPr>
            </w:pPr>
            <w:r>
              <w:rPr>
                <w:kern w:val="28"/>
                <w:sz w:val="24"/>
                <w:szCs w:val="28"/>
              </w:rPr>
              <w:t>⑧原料和产品运输车辆顶部设置防尘布遮盖，密闭运输，防止造成扬尘二次污染。</w:t>
            </w:r>
          </w:p>
          <w:p>
            <w:pPr>
              <w:spacing w:line="520" w:lineRule="exact"/>
              <w:ind w:firstLine="480" w:firstLineChars="200"/>
              <w:rPr>
                <w:sz w:val="24"/>
              </w:rPr>
            </w:pPr>
            <w:r>
              <w:rPr>
                <w:sz w:val="24"/>
              </w:rPr>
              <w:t>采取以上措施后，</w:t>
            </w:r>
            <w:r>
              <w:rPr>
                <w:rFonts w:hint="eastAsia"/>
                <w:sz w:val="24"/>
                <w:lang w:eastAsia="zh-CN"/>
              </w:rPr>
              <w:t>颗粒物</w:t>
            </w:r>
            <w:r>
              <w:rPr>
                <w:sz w:val="24"/>
              </w:rPr>
              <w:t>量可减少</w:t>
            </w:r>
            <w:r>
              <w:rPr>
                <w:rFonts w:hint="eastAsia"/>
                <w:sz w:val="24"/>
                <w:lang w:val="en-US" w:eastAsia="zh-CN"/>
              </w:rPr>
              <w:t>9</w:t>
            </w:r>
            <w:r>
              <w:rPr>
                <w:sz w:val="24"/>
              </w:rPr>
              <w:t>0%，道路扬尘排放量为</w:t>
            </w:r>
            <w:r>
              <w:rPr>
                <w:rFonts w:hint="eastAsia"/>
                <w:sz w:val="24"/>
                <w:lang w:val="en-US" w:eastAsia="zh-CN"/>
              </w:rPr>
              <w:t>0.016</w:t>
            </w:r>
            <w:r>
              <w:rPr>
                <w:sz w:val="24"/>
              </w:rPr>
              <w:t>t/a</w:t>
            </w:r>
            <w:r>
              <w:rPr>
                <w:rFonts w:hint="eastAsia"/>
                <w:sz w:val="24"/>
              </w:rPr>
              <w:t>。</w:t>
            </w:r>
          </w:p>
          <w:p>
            <w:pPr>
              <w:spacing w:line="500" w:lineRule="exact"/>
              <w:ind w:firstLine="480" w:firstLineChars="200"/>
              <w:rPr>
                <w:rFonts w:hint="default" w:ascii="Times New Roman" w:hAnsi="Times New Roman" w:eastAsia="宋体" w:cs="Times New Roman"/>
                <w:iCs/>
                <w:sz w:val="24"/>
              </w:rPr>
            </w:pPr>
            <w:r>
              <w:rPr>
                <w:rFonts w:hint="eastAsia" w:ascii="Times New Roman" w:hAnsi="Times New Roman" w:eastAsia="宋体" w:cs="Times New Roman"/>
                <w:iCs/>
                <w:sz w:val="24"/>
                <w:lang w:val="en-US" w:eastAsia="zh-CN"/>
              </w:rPr>
              <w:t>（5）</w:t>
            </w:r>
            <w:r>
              <w:rPr>
                <w:rFonts w:hint="default" w:ascii="Times New Roman" w:hAnsi="Times New Roman" w:eastAsia="宋体" w:cs="Times New Roman"/>
                <w:iCs/>
                <w:sz w:val="24"/>
              </w:rPr>
              <w:t>燃油机械及运输车辆尾气</w:t>
            </w:r>
          </w:p>
          <w:p>
            <w:pPr>
              <w:spacing w:line="500" w:lineRule="exact"/>
              <w:ind w:firstLine="480" w:firstLineChars="200"/>
              <w:rPr>
                <w:rFonts w:hint="default" w:ascii="Times New Roman" w:hAnsi="Times New Roman" w:eastAsia="宋体" w:cs="Times New Roman"/>
                <w:iCs/>
                <w:sz w:val="24"/>
              </w:rPr>
            </w:pPr>
            <w:r>
              <w:rPr>
                <w:rFonts w:hint="default" w:ascii="Times New Roman" w:hAnsi="Times New Roman" w:eastAsia="宋体" w:cs="Times New Roman"/>
                <w:iCs/>
                <w:sz w:val="24"/>
              </w:rPr>
              <w:t>本项目</w:t>
            </w:r>
            <w:r>
              <w:rPr>
                <w:rFonts w:ascii="Times New Roman" w:hAnsi="Times New Roman" w:eastAsia="宋体" w:cs="Times New Roman"/>
                <w:iCs/>
                <w:sz w:val="24"/>
              </w:rPr>
              <w:t>装载机等燃油机械</w:t>
            </w:r>
            <w:r>
              <w:rPr>
                <w:rFonts w:hint="eastAsia" w:ascii="Times New Roman" w:hAnsi="Times New Roman" w:eastAsia="宋体" w:cs="Times New Roman"/>
                <w:iCs/>
                <w:sz w:val="24"/>
                <w:lang w:eastAsia="zh-CN"/>
              </w:rPr>
              <w:t>以及运输车辆</w:t>
            </w:r>
            <w:r>
              <w:rPr>
                <w:rFonts w:ascii="Times New Roman" w:hAnsi="Times New Roman" w:eastAsia="宋体" w:cs="Times New Roman"/>
                <w:iCs/>
                <w:sz w:val="24"/>
              </w:rPr>
              <w:t>运行将产生一定量燃油废气，</w:t>
            </w:r>
            <w:r>
              <w:rPr>
                <w:rFonts w:hint="default" w:ascii="Times New Roman" w:hAnsi="Times New Roman" w:eastAsia="宋体" w:cs="Times New Roman"/>
                <w:iCs/>
                <w:sz w:val="24"/>
              </w:rPr>
              <w:t>项目运输车辆采用柴油为燃料，燃料消耗量与车辆运输距离有较大关系，根据《环境保护实用手册》</w:t>
            </w:r>
            <w:r>
              <w:rPr>
                <w:rFonts w:hint="eastAsia" w:ascii="Times New Roman" w:hAnsi="Times New Roman" w:eastAsia="宋体" w:cs="Times New Roman"/>
                <w:iCs/>
                <w:sz w:val="24"/>
                <w:lang w:eastAsia="zh-CN"/>
              </w:rPr>
              <w:t>，</w:t>
            </w:r>
            <w:r>
              <w:rPr>
                <w:rFonts w:hint="default" w:ascii="Times New Roman" w:hAnsi="Times New Roman" w:eastAsia="宋体" w:cs="Times New Roman"/>
                <w:iCs/>
                <w:sz w:val="24"/>
              </w:rPr>
              <w:t>柴油载重汽车排污系数为铅化物：1.56g/L、SO2：3.24g/L、CO：27.0 g/L、NOx：44.4g/L、烃类：4.44g/L。由于场地开阔，扩散条件好，运输车辆产生的废气经自然扩散稀释后，对环境影响较小。</w:t>
            </w:r>
          </w:p>
          <w:p>
            <w:pPr>
              <w:spacing w:line="500" w:lineRule="exact"/>
              <w:ind w:firstLine="480" w:firstLineChars="200"/>
              <w:rPr>
                <w:iCs/>
                <w:sz w:val="24"/>
              </w:rPr>
            </w:pPr>
            <w:r>
              <w:rPr>
                <w:iCs/>
                <w:sz w:val="24"/>
              </w:rPr>
              <w:t>（</w:t>
            </w:r>
            <w:r>
              <w:rPr>
                <w:rFonts w:hint="eastAsia"/>
                <w:iCs/>
                <w:sz w:val="24"/>
                <w:lang w:val="en-US" w:eastAsia="zh-CN"/>
              </w:rPr>
              <w:t>6</w:t>
            </w:r>
            <w:r>
              <w:rPr>
                <w:iCs/>
                <w:sz w:val="24"/>
              </w:rPr>
              <w:t>）食堂油烟</w:t>
            </w:r>
          </w:p>
          <w:p>
            <w:pPr>
              <w:spacing w:line="520" w:lineRule="exact"/>
              <w:ind w:firstLine="480" w:firstLineChars="200"/>
              <w:outlineLvl w:val="0"/>
              <w:rPr>
                <w:color w:val="auto"/>
                <w:sz w:val="24"/>
                <w:lang w:val="en-US" w:eastAsia="zh-CN"/>
              </w:rPr>
            </w:pPr>
            <w:r>
              <w:rPr>
                <w:rFonts w:hint="default"/>
                <w:sz w:val="24"/>
              </w:rPr>
              <w:t>本项目食堂采用电为能源，设</w:t>
            </w:r>
            <w:r>
              <w:rPr>
                <w:sz w:val="24"/>
              </w:rPr>
              <w:t>1</w:t>
            </w:r>
            <w:r>
              <w:rPr>
                <w:rFonts w:hint="default"/>
                <w:sz w:val="24"/>
              </w:rPr>
              <w:t>个基准灶头为职工提供就餐，规模属于小型食堂，其烟气量约为2000m</w:t>
            </w:r>
            <w:r>
              <w:rPr>
                <w:rFonts w:hint="default"/>
                <w:sz w:val="24"/>
                <w:vertAlign w:val="superscript"/>
              </w:rPr>
              <w:t>3</w:t>
            </w:r>
            <w:r>
              <w:rPr>
                <w:rFonts w:hint="default"/>
                <w:sz w:val="24"/>
              </w:rPr>
              <w:t>/h。我国居民日均食油量</w:t>
            </w:r>
            <w:r>
              <w:rPr>
                <w:rFonts w:hint="eastAsia"/>
                <w:sz w:val="24"/>
                <w:lang w:val="en-US" w:eastAsia="zh-CN"/>
              </w:rPr>
              <w:t>3</w:t>
            </w:r>
            <w:r>
              <w:rPr>
                <w:rFonts w:hint="default"/>
                <w:sz w:val="24"/>
              </w:rPr>
              <w:t>0g/（人·d），本项目就餐人数为7人，耗油量为0.2</w:t>
            </w:r>
            <w:r>
              <w:rPr>
                <w:rFonts w:hint="eastAsia"/>
                <w:sz w:val="24"/>
                <w:lang w:val="en-US" w:eastAsia="zh-CN"/>
              </w:rPr>
              <w:t>1</w:t>
            </w:r>
            <w:r>
              <w:rPr>
                <w:rFonts w:hint="default"/>
                <w:sz w:val="24"/>
              </w:rPr>
              <w:t>kg/d（</w:t>
            </w:r>
            <w:r>
              <w:rPr>
                <w:rFonts w:hint="eastAsia"/>
                <w:sz w:val="24"/>
                <w:lang w:val="en-US" w:eastAsia="zh-CN"/>
              </w:rPr>
              <w:t>0.063</w:t>
            </w:r>
            <w:r>
              <w:rPr>
                <w:rFonts w:hint="default"/>
                <w:sz w:val="24"/>
              </w:rPr>
              <w:t>t/a），</w:t>
            </w:r>
            <w:r>
              <w:rPr>
                <w:sz w:val="24"/>
                <w:lang w:val="en-US" w:eastAsia="zh-CN"/>
              </w:rPr>
              <w:t>一般油烟挥发量占总耗油量的2.83%，则本项目油烟废气产生量（按每天工作</w:t>
            </w:r>
            <w:r>
              <w:rPr>
                <w:rFonts w:hint="eastAsia"/>
                <w:sz w:val="24"/>
                <w:lang w:val="en-US" w:eastAsia="zh-CN"/>
              </w:rPr>
              <w:t>2</w:t>
            </w:r>
            <w:r>
              <w:rPr>
                <w:sz w:val="24"/>
                <w:lang w:val="en-US" w:eastAsia="zh-CN"/>
              </w:rPr>
              <w:t>小时计）</w:t>
            </w:r>
            <w:r>
              <w:rPr>
                <w:rFonts w:hint="eastAsia"/>
                <w:sz w:val="24"/>
                <w:lang w:val="en-US" w:eastAsia="zh-CN"/>
              </w:rPr>
              <w:t>约</w:t>
            </w:r>
            <w:r>
              <w:rPr>
                <w:sz w:val="24"/>
                <w:lang w:val="en-US" w:eastAsia="zh-CN"/>
              </w:rPr>
              <w:t>为</w:t>
            </w:r>
            <w:r>
              <w:rPr>
                <w:rFonts w:hint="eastAsia"/>
                <w:color w:val="auto"/>
                <w:sz w:val="24"/>
                <w:lang w:val="en-US" w:eastAsia="zh-CN"/>
              </w:rPr>
              <w:t>1.783kg</w:t>
            </w:r>
            <w:r>
              <w:rPr>
                <w:color w:val="auto"/>
                <w:sz w:val="24"/>
                <w:lang w:val="en-US" w:eastAsia="zh-CN"/>
              </w:rPr>
              <w:t>/a</w:t>
            </w:r>
            <w:r>
              <w:rPr>
                <w:rFonts w:hint="eastAsia"/>
                <w:sz w:val="24"/>
                <w:lang w:val="en-US" w:eastAsia="zh-CN"/>
              </w:rPr>
              <w:t>，</w:t>
            </w:r>
            <w:r>
              <w:rPr>
                <w:rFonts w:hint="default" w:ascii="Times New Roman" w:hAnsi="Times New Roman" w:eastAsiaTheme="minorEastAsia"/>
                <w:b w:val="0"/>
                <w:bCs/>
                <w:color w:val="auto"/>
                <w:sz w:val="24"/>
              </w:rPr>
              <w:t>则油烟初始排放速率</w:t>
            </w:r>
            <w:r>
              <w:rPr>
                <w:rFonts w:hint="eastAsia" w:eastAsiaTheme="minorEastAsia"/>
                <w:b w:val="0"/>
                <w:bCs/>
                <w:color w:val="auto"/>
                <w:sz w:val="24"/>
                <w:lang w:eastAsia="zh-CN"/>
              </w:rPr>
              <w:t>约</w:t>
            </w:r>
            <w:r>
              <w:rPr>
                <w:rFonts w:hint="default" w:ascii="Times New Roman" w:hAnsi="Times New Roman" w:eastAsiaTheme="minorEastAsia"/>
                <w:b w:val="0"/>
                <w:bCs/>
                <w:color w:val="auto"/>
                <w:sz w:val="24"/>
              </w:rPr>
              <w:t>为0.00</w:t>
            </w:r>
            <w:r>
              <w:rPr>
                <w:rFonts w:hint="eastAsia" w:eastAsiaTheme="minorEastAsia"/>
                <w:b w:val="0"/>
                <w:bCs/>
                <w:color w:val="auto"/>
                <w:sz w:val="24"/>
                <w:lang w:val="en-US" w:eastAsia="zh-CN"/>
              </w:rPr>
              <w:t>3</w:t>
            </w:r>
            <w:r>
              <w:rPr>
                <w:rFonts w:hint="default" w:ascii="Times New Roman" w:hAnsi="Times New Roman" w:eastAsiaTheme="minorEastAsia"/>
                <w:b w:val="0"/>
                <w:bCs/>
                <w:color w:val="auto"/>
                <w:sz w:val="24"/>
              </w:rPr>
              <w:t>kg/h，油烟初始排放浓度为</w:t>
            </w:r>
            <w:r>
              <w:rPr>
                <w:rFonts w:hint="eastAsia" w:eastAsiaTheme="minorEastAsia"/>
                <w:b w:val="0"/>
                <w:bCs/>
                <w:color w:val="auto"/>
                <w:sz w:val="24"/>
                <w:lang w:val="en-US" w:eastAsia="zh-CN"/>
              </w:rPr>
              <w:t>1.5</w:t>
            </w:r>
            <w:r>
              <w:rPr>
                <w:rFonts w:hint="default" w:ascii="Times New Roman" w:hAnsi="Times New Roman" w:eastAsiaTheme="minorEastAsia"/>
                <w:b w:val="0"/>
                <w:bCs/>
                <w:color w:val="auto"/>
                <w:sz w:val="24"/>
              </w:rPr>
              <w:t>mg/m</w:t>
            </w:r>
            <w:r>
              <w:rPr>
                <w:rFonts w:hint="default" w:ascii="Times New Roman" w:hAnsi="Times New Roman" w:eastAsiaTheme="minorEastAsia"/>
                <w:b w:val="0"/>
                <w:bCs/>
                <w:color w:val="auto"/>
                <w:sz w:val="24"/>
                <w:vertAlign w:val="superscript"/>
              </w:rPr>
              <w:t>3</w:t>
            </w:r>
            <w:r>
              <w:rPr>
                <w:rFonts w:hint="default" w:ascii="Times New Roman" w:hAnsi="Times New Roman" w:eastAsiaTheme="minorEastAsia"/>
                <w:b w:val="0"/>
                <w:bCs/>
                <w:color w:val="auto"/>
                <w:sz w:val="24"/>
              </w:rPr>
              <w:t>。</w:t>
            </w:r>
          </w:p>
          <w:p>
            <w:pPr>
              <w:pStyle w:val="81"/>
              <w:widowControl/>
              <w:ind w:firstLine="480" w:firstLineChars="200"/>
              <w:rPr>
                <w:rFonts w:hint="default" w:ascii="Times New Roman" w:hAnsi="Times New Roman" w:eastAsia="宋体"/>
                <w:b w:val="0"/>
                <w:color w:val="auto"/>
                <w:sz w:val="24"/>
              </w:rPr>
            </w:pPr>
            <w:r>
              <w:rPr>
                <w:rFonts w:hint="default" w:ascii="Times New Roman" w:hAnsi="Times New Roman" w:eastAsia="宋体"/>
                <w:b w:val="0"/>
                <w:color w:val="auto"/>
                <w:sz w:val="24"/>
              </w:rPr>
              <w:t>评价建议建设单位采用国家认可的单位监测合格的油烟净化装置对食堂油烟进行处理，处理效率不低于90%，净化后的油烟通过排气筒</w:t>
            </w:r>
            <w:r>
              <w:rPr>
                <w:rFonts w:hint="eastAsia" w:ascii="Times New Roman" w:hAnsi="Times New Roman" w:eastAsia="宋体"/>
                <w:b w:val="0"/>
                <w:color w:val="auto"/>
                <w:sz w:val="24"/>
                <w:lang w:eastAsia="zh-CN"/>
              </w:rPr>
              <w:t>高空</w:t>
            </w:r>
            <w:r>
              <w:rPr>
                <w:rFonts w:hint="default" w:ascii="Times New Roman" w:hAnsi="Times New Roman" w:eastAsia="宋体"/>
                <w:b w:val="0"/>
                <w:color w:val="auto"/>
                <w:sz w:val="24"/>
              </w:rPr>
              <w:t>排放。经油烟净化装置（处理效率90%）净化后，油烟排放浓度约为</w:t>
            </w:r>
            <w:r>
              <w:rPr>
                <w:rFonts w:hint="eastAsia" w:ascii="Times New Roman" w:hAnsi="Times New Roman" w:eastAsia="宋体"/>
                <w:b w:val="0"/>
                <w:color w:val="auto"/>
                <w:sz w:val="24"/>
                <w:lang w:val="en-US" w:eastAsia="zh-CN"/>
              </w:rPr>
              <w:t>0.15</w:t>
            </w:r>
            <w:r>
              <w:rPr>
                <w:rFonts w:hint="default" w:ascii="Times New Roman" w:hAnsi="Times New Roman" w:eastAsia="宋体"/>
                <w:b w:val="0"/>
                <w:color w:val="auto"/>
                <w:sz w:val="24"/>
              </w:rPr>
              <w:t xml:space="preserve"> mg/m</w:t>
            </w:r>
            <w:r>
              <w:rPr>
                <w:rFonts w:hint="default" w:ascii="Times New Roman" w:hAnsi="Times New Roman" w:eastAsia="宋体"/>
                <w:b w:val="0"/>
                <w:color w:val="auto"/>
                <w:sz w:val="24"/>
                <w:vertAlign w:val="superscript"/>
              </w:rPr>
              <w:t>3</w:t>
            </w:r>
            <w:r>
              <w:rPr>
                <w:rFonts w:hint="default" w:ascii="Times New Roman" w:hAnsi="Times New Roman" w:eastAsia="宋体"/>
                <w:b w:val="0"/>
                <w:color w:val="auto"/>
                <w:sz w:val="24"/>
              </w:rPr>
              <w:t>，排放量为</w:t>
            </w:r>
            <w:r>
              <w:rPr>
                <w:rFonts w:hint="eastAsia" w:ascii="Times New Roman" w:hAnsi="Times New Roman" w:eastAsia="宋体"/>
                <w:b w:val="0"/>
                <w:color w:val="auto"/>
                <w:sz w:val="24"/>
                <w:lang w:val="en-US" w:eastAsia="zh-CN"/>
              </w:rPr>
              <w:t>0.1783kg</w:t>
            </w:r>
            <w:r>
              <w:rPr>
                <w:rFonts w:hint="default" w:ascii="Times New Roman" w:hAnsi="Times New Roman" w:eastAsia="宋体"/>
                <w:b w:val="0"/>
                <w:color w:val="auto"/>
                <w:sz w:val="24"/>
              </w:rPr>
              <w:t>/a。食堂油烟废气排放浓度和去除效率均符合《餐饮业油烟污染物排放标准》</w:t>
            </w:r>
            <w:r>
              <w:rPr>
                <w:rFonts w:hint="eastAsia" w:ascii="Times New Roman" w:hAnsi="Times New Roman" w:eastAsia="宋体"/>
                <w:b w:val="0"/>
                <w:color w:val="auto"/>
                <w:sz w:val="24"/>
                <w:lang w:val="en-US" w:eastAsia="zh-CN"/>
              </w:rPr>
              <w:t>（河南省地方标准）</w:t>
            </w:r>
            <w:r>
              <w:rPr>
                <w:rFonts w:hint="default" w:ascii="Times New Roman" w:hAnsi="Times New Roman" w:eastAsia="宋体"/>
                <w:b w:val="0"/>
                <w:color w:val="auto"/>
                <w:sz w:val="24"/>
              </w:rPr>
              <w:t>（DB41/1604-2018）中小型类标准限值要求</w:t>
            </w:r>
            <w:r>
              <w:rPr>
                <w:rFonts w:hint="default" w:ascii="Times New Roman" w:hAnsi="Times New Roman" w:eastAsia="宋体"/>
                <w:b w:val="0"/>
                <w:color w:val="auto"/>
                <w:sz w:val="24"/>
                <w:lang w:val="en-US" w:eastAsia="zh-CN"/>
              </w:rPr>
              <w:t>（</w:t>
            </w:r>
            <w:r>
              <w:rPr>
                <w:rFonts w:hint="eastAsia" w:ascii="Times New Roman" w:hAnsi="Times New Roman" w:eastAsia="宋体"/>
                <w:b w:val="0"/>
                <w:color w:val="auto"/>
                <w:sz w:val="24"/>
                <w:lang w:val="en-US" w:eastAsia="zh-CN"/>
              </w:rPr>
              <w:t>油烟≤1.5mg/m</w:t>
            </w:r>
            <w:r>
              <w:rPr>
                <w:rFonts w:hint="eastAsia" w:ascii="Times New Roman" w:hAnsi="Times New Roman" w:eastAsia="宋体"/>
                <w:b w:val="0"/>
                <w:color w:val="auto"/>
                <w:sz w:val="24"/>
                <w:vertAlign w:val="superscript"/>
                <w:lang w:val="en-US" w:eastAsia="zh-CN"/>
              </w:rPr>
              <w:t>3</w:t>
            </w:r>
            <w:r>
              <w:rPr>
                <w:rFonts w:hint="eastAsia" w:ascii="Times New Roman" w:hAnsi="Times New Roman" w:eastAsia="宋体"/>
                <w:b w:val="0"/>
                <w:color w:val="auto"/>
                <w:sz w:val="24"/>
                <w:lang w:val="en-US" w:eastAsia="zh-CN"/>
              </w:rPr>
              <w:t>、油烟去除效率≥90%</w:t>
            </w:r>
            <w:r>
              <w:rPr>
                <w:rFonts w:hint="default" w:ascii="Times New Roman" w:hAnsi="Times New Roman" w:eastAsia="宋体"/>
                <w:b w:val="0"/>
                <w:color w:val="auto"/>
                <w:sz w:val="24"/>
                <w:lang w:val="en-US" w:eastAsia="zh-CN"/>
              </w:rPr>
              <w:t>）</w:t>
            </w:r>
            <w:r>
              <w:rPr>
                <w:rFonts w:hint="default" w:ascii="Times New Roman" w:hAnsi="Times New Roman" w:eastAsia="宋体"/>
                <w:b w:val="0"/>
                <w:color w:val="auto"/>
                <w:sz w:val="24"/>
              </w:rPr>
              <w:t>。</w:t>
            </w:r>
          </w:p>
          <w:p>
            <w:pPr>
              <w:spacing w:line="460" w:lineRule="exact"/>
              <w:ind w:firstLine="465"/>
              <w:rPr>
                <w:rFonts w:eastAsia="黑体"/>
                <w:sz w:val="24"/>
              </w:rPr>
            </w:pPr>
            <w:r>
              <w:rPr>
                <w:rFonts w:eastAsia="黑体"/>
                <w:sz w:val="24"/>
              </w:rPr>
              <w:t>2.2.2 废水</w:t>
            </w:r>
          </w:p>
          <w:p>
            <w:pPr>
              <w:spacing w:line="520" w:lineRule="exact"/>
              <w:ind w:firstLine="480" w:firstLineChars="200"/>
              <w:outlineLvl w:val="0"/>
              <w:rPr>
                <w:sz w:val="24"/>
              </w:rPr>
            </w:pPr>
            <w:r>
              <w:rPr>
                <w:sz w:val="24"/>
              </w:rPr>
              <w:t>本项目运营后用水环节主要有配料用水，产品养护用水，原料及道路洒水抑尘用水，场地、设备冲洗废水，车辆冲洗用水，职工生活用水等，其中生产用水进入产品，不产生废水；产品养护用水蒸发或进入产品，不产生废水；原料及道路洒水抑尘用水量较少，且地面不形成径流，不产生废水。由此，本项目运营后废水主要为场地、设备冲洗废水，车辆冲洗废水和职工生活污水。</w:t>
            </w:r>
          </w:p>
          <w:p>
            <w:pPr>
              <w:spacing w:line="520" w:lineRule="exact"/>
              <w:ind w:firstLine="480" w:firstLineChars="200"/>
              <w:outlineLvl w:val="0"/>
              <w:rPr>
                <w:sz w:val="24"/>
              </w:rPr>
            </w:pPr>
            <w:r>
              <w:rPr>
                <w:sz w:val="24"/>
              </w:rPr>
              <w:t>（1）配料用水</w:t>
            </w:r>
          </w:p>
          <w:p>
            <w:pPr>
              <w:spacing w:line="520" w:lineRule="exact"/>
              <w:ind w:firstLine="480" w:firstLineChars="200"/>
              <w:outlineLvl w:val="0"/>
              <w:rPr>
                <w:color w:val="FF0000"/>
                <w:sz w:val="24"/>
                <w:highlight w:val="yellow"/>
              </w:rPr>
            </w:pPr>
            <w:r>
              <w:rPr>
                <w:sz w:val="24"/>
              </w:rPr>
              <w:t>根据企业提供资料，</w:t>
            </w:r>
            <w:r>
              <w:rPr>
                <w:rFonts w:hint="eastAsia"/>
                <w:sz w:val="24"/>
              </w:rPr>
              <w:t>水泥</w:t>
            </w:r>
            <w:r>
              <w:rPr>
                <w:sz w:val="24"/>
              </w:rPr>
              <w:t>砖</w:t>
            </w:r>
            <w:r>
              <w:rPr>
                <w:rFonts w:hint="eastAsia"/>
                <w:sz w:val="24"/>
              </w:rPr>
              <w:t>及其他制品</w:t>
            </w:r>
            <w:r>
              <w:rPr>
                <w:sz w:val="24"/>
              </w:rPr>
              <w:t>配料用水定额平均为120kg/t-原料，本项目原料用量合计为5</w:t>
            </w:r>
            <w:r>
              <w:rPr>
                <w:rFonts w:hint="eastAsia"/>
                <w:sz w:val="24"/>
              </w:rPr>
              <w:t>0250</w:t>
            </w:r>
            <w:r>
              <w:rPr>
                <w:sz w:val="24"/>
              </w:rPr>
              <w:t>t/a，则配料用水量为</w:t>
            </w:r>
            <w:r>
              <w:rPr>
                <w:rFonts w:hint="eastAsia"/>
                <w:sz w:val="24"/>
              </w:rPr>
              <w:t>20.1</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rPr>
              <w:t>6030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r>
              <w:rPr>
                <w:color w:val="auto"/>
                <w:sz w:val="24"/>
              </w:rPr>
              <w:t>，其中新鲜水用量约</w:t>
            </w:r>
            <w:r>
              <w:rPr>
                <w:rFonts w:hint="eastAsia"/>
                <w:color w:val="auto"/>
                <w:sz w:val="24"/>
                <w:lang w:val="en-US" w:eastAsia="zh-CN"/>
              </w:rPr>
              <w:t>18.3</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color w:val="auto"/>
                <w:sz w:val="24"/>
              </w:rPr>
              <w:t>/d，</w:t>
            </w:r>
            <w:r>
              <w:rPr>
                <w:rFonts w:hint="eastAsia"/>
                <w:color w:val="auto"/>
                <w:sz w:val="24"/>
                <w:lang w:val="en-US" w:eastAsia="zh-CN"/>
              </w:rPr>
              <w:t>5490</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color w:val="auto"/>
                <w:sz w:val="24"/>
              </w:rPr>
              <w:t>/a。</w:t>
            </w:r>
            <w:r>
              <w:rPr>
                <w:bCs/>
                <w:color w:val="auto"/>
                <w:sz w:val="24"/>
              </w:rPr>
              <w:t>该工序水全部进入产品，无废水产生。</w:t>
            </w:r>
          </w:p>
          <w:p>
            <w:pPr>
              <w:spacing w:line="520" w:lineRule="exact"/>
              <w:ind w:firstLine="480" w:firstLineChars="200"/>
              <w:outlineLvl w:val="0"/>
              <w:rPr>
                <w:sz w:val="24"/>
              </w:rPr>
            </w:pPr>
            <w:r>
              <w:rPr>
                <w:sz w:val="24"/>
              </w:rPr>
              <w:t>（2）产品养护用水</w:t>
            </w:r>
          </w:p>
          <w:p>
            <w:pPr>
              <w:spacing w:line="520" w:lineRule="exact"/>
              <w:ind w:firstLine="480" w:firstLineChars="200"/>
              <w:outlineLvl w:val="0"/>
              <w:rPr>
                <w:sz w:val="24"/>
              </w:rPr>
            </w:pPr>
            <w:r>
              <w:rPr>
                <w:sz w:val="24"/>
              </w:rPr>
              <w:t>成型的</w:t>
            </w:r>
            <w:r>
              <w:rPr>
                <w:rFonts w:hint="eastAsia"/>
                <w:sz w:val="24"/>
              </w:rPr>
              <w:t>水泥</w:t>
            </w:r>
            <w:r>
              <w:rPr>
                <w:sz w:val="24"/>
              </w:rPr>
              <w:t>砖及</w:t>
            </w:r>
            <w:r>
              <w:rPr>
                <w:rFonts w:hint="eastAsia"/>
                <w:sz w:val="24"/>
              </w:rPr>
              <w:t>其他制品</w:t>
            </w:r>
            <w:r>
              <w:rPr>
                <w:sz w:val="24"/>
              </w:rPr>
              <w:t>需要进行养护以提高其强度，达到规定的质量标准。本项目产品养护均采用自然养护，根据企业提供资料，</w:t>
            </w:r>
            <w:r>
              <w:rPr>
                <w:rFonts w:hint="eastAsia" w:ascii="Times New Roman" w:hAnsi="Times New Roman" w:eastAsia="宋体" w:cs="Times New Roman"/>
                <w:bCs/>
                <w:iCs/>
                <w:sz w:val="24"/>
                <w:szCs w:val="24"/>
                <w:lang w:val="en-US" w:eastAsia="zh-CN"/>
              </w:rPr>
              <w:t>每年</w:t>
            </w:r>
            <w:r>
              <w:rPr>
                <w:rFonts w:hint="eastAsia" w:cs="Times New Roman"/>
                <w:bCs/>
                <w:iCs/>
                <w:sz w:val="24"/>
                <w:szCs w:val="24"/>
                <w:lang w:val="en-US" w:eastAsia="zh-CN"/>
              </w:rPr>
              <w:t>养护</w:t>
            </w:r>
            <w:r>
              <w:rPr>
                <w:rFonts w:hint="eastAsia" w:ascii="Times New Roman" w:hAnsi="Times New Roman" w:eastAsia="宋体" w:cs="Times New Roman"/>
                <w:bCs/>
                <w:iCs/>
                <w:sz w:val="24"/>
                <w:szCs w:val="24"/>
                <w:lang w:val="en-US" w:eastAsia="zh-CN"/>
              </w:rPr>
              <w:t>约250d，</w:t>
            </w:r>
            <w:r>
              <w:rPr>
                <w:sz w:val="24"/>
              </w:rPr>
              <w:t>养护用水量2t/d，</w:t>
            </w:r>
            <w:r>
              <w:rPr>
                <w:rFonts w:hint="eastAsia"/>
                <w:sz w:val="24"/>
                <w:lang w:val="en-US" w:eastAsia="zh-CN"/>
              </w:rPr>
              <w:t>500</w:t>
            </w:r>
            <w:r>
              <w:rPr>
                <w:sz w:val="24"/>
              </w:rPr>
              <w:t>t/a。该工序废水大部分蒸发，少部分进入产品，无废水产生。</w:t>
            </w:r>
          </w:p>
          <w:p>
            <w:pPr>
              <w:spacing w:line="520" w:lineRule="exact"/>
              <w:ind w:firstLine="480" w:firstLineChars="200"/>
              <w:outlineLvl w:val="0"/>
              <w:rPr>
                <w:sz w:val="24"/>
              </w:rPr>
            </w:pPr>
            <w:r>
              <w:rPr>
                <w:sz w:val="24"/>
              </w:rPr>
              <w:t>（3）原料和道路洒水抑尘用水</w:t>
            </w:r>
          </w:p>
          <w:p>
            <w:pPr>
              <w:spacing w:line="500" w:lineRule="exact"/>
              <w:ind w:firstLine="482" w:firstLineChars="200"/>
              <w:rPr>
                <w:rFonts w:hint="default" w:ascii="Times New Roman" w:hAnsi="Times New Roman" w:eastAsia="宋体" w:cs="Times New Roman"/>
                <w:b/>
                <w:bCs/>
                <w:iCs/>
                <w:color w:val="auto"/>
                <w:sz w:val="24"/>
                <w:szCs w:val="24"/>
                <w:u w:val="single"/>
              </w:rPr>
            </w:pPr>
            <w:r>
              <w:rPr>
                <w:b/>
                <w:bCs/>
                <w:sz w:val="24"/>
                <w:u w:val="single"/>
              </w:rPr>
              <w:t>本项目运营后在原料仓库设置有自动</w:t>
            </w:r>
            <w:r>
              <w:rPr>
                <w:rFonts w:hint="eastAsia"/>
                <w:b/>
                <w:bCs/>
                <w:sz w:val="24"/>
                <w:u w:val="single"/>
                <w:lang w:eastAsia="zh-CN"/>
              </w:rPr>
              <w:t>喷雾</w:t>
            </w:r>
            <w:r>
              <w:rPr>
                <w:b/>
                <w:bCs/>
                <w:sz w:val="24"/>
                <w:u w:val="single"/>
              </w:rPr>
              <w:t>装置，装载点设置有雾状洒水装置，以降低</w:t>
            </w:r>
            <w:r>
              <w:rPr>
                <w:rFonts w:hint="eastAsia"/>
                <w:b/>
                <w:bCs/>
                <w:sz w:val="24"/>
                <w:u w:val="single"/>
                <w:lang w:eastAsia="zh-CN"/>
              </w:rPr>
              <w:t>颗粒物</w:t>
            </w:r>
            <w:r>
              <w:rPr>
                <w:b/>
                <w:bCs/>
                <w:sz w:val="24"/>
                <w:u w:val="single"/>
              </w:rPr>
              <w:t>的产生量，</w:t>
            </w:r>
            <w:r>
              <w:rPr>
                <w:rFonts w:hint="default" w:ascii="Times New Roman" w:hAnsi="Times New Roman" w:eastAsia="宋体" w:cs="Times New Roman"/>
                <w:b/>
                <w:bCs/>
                <w:iCs/>
                <w:color w:val="auto"/>
                <w:sz w:val="24"/>
                <w:szCs w:val="24"/>
                <w:u w:val="single"/>
              </w:rPr>
              <w:t>根据项目原料</w:t>
            </w:r>
            <w:r>
              <w:rPr>
                <w:rFonts w:hint="eastAsia" w:ascii="Times New Roman" w:hAnsi="Times New Roman" w:eastAsia="宋体" w:cs="Times New Roman"/>
                <w:b/>
                <w:bCs/>
                <w:iCs/>
                <w:color w:val="auto"/>
                <w:sz w:val="24"/>
                <w:szCs w:val="24"/>
                <w:u w:val="single"/>
                <w:lang w:eastAsia="zh-CN"/>
              </w:rPr>
              <w:t>区</w:t>
            </w:r>
            <w:r>
              <w:rPr>
                <w:rFonts w:hint="default" w:ascii="Times New Roman" w:hAnsi="Times New Roman" w:eastAsia="宋体" w:cs="Times New Roman"/>
                <w:b/>
                <w:bCs/>
                <w:iCs/>
                <w:color w:val="auto"/>
                <w:sz w:val="24"/>
                <w:szCs w:val="24"/>
                <w:u w:val="single"/>
              </w:rPr>
              <w:t>面积及物料堆存情况，</w:t>
            </w:r>
            <w:r>
              <w:rPr>
                <w:rFonts w:hint="eastAsia" w:ascii="Times New Roman" w:hAnsi="Times New Roman" w:eastAsia="宋体" w:cs="Times New Roman"/>
                <w:b/>
                <w:bCs/>
                <w:iCs/>
                <w:color w:val="auto"/>
                <w:sz w:val="24"/>
                <w:szCs w:val="24"/>
                <w:u w:val="single"/>
                <w:lang w:eastAsia="zh-CN"/>
              </w:rPr>
              <w:t>原车间</w:t>
            </w:r>
            <w:r>
              <w:rPr>
                <w:rFonts w:hint="default" w:ascii="Times New Roman" w:hAnsi="Times New Roman" w:eastAsia="宋体" w:cs="Times New Roman"/>
                <w:b/>
                <w:bCs/>
                <w:iCs/>
                <w:color w:val="auto"/>
                <w:sz w:val="24"/>
                <w:szCs w:val="24"/>
                <w:u w:val="single"/>
              </w:rPr>
              <w:t>设置</w:t>
            </w:r>
            <w:r>
              <w:rPr>
                <w:rFonts w:hint="eastAsia" w:cs="Times New Roman"/>
                <w:b/>
                <w:bCs/>
                <w:iCs/>
                <w:color w:val="auto"/>
                <w:sz w:val="24"/>
                <w:szCs w:val="24"/>
                <w:u w:val="single"/>
                <w:lang w:eastAsia="zh-CN"/>
              </w:rPr>
              <w:t>喷干雾</w:t>
            </w:r>
            <w:r>
              <w:rPr>
                <w:rFonts w:hint="default" w:ascii="Times New Roman" w:hAnsi="Times New Roman" w:eastAsia="宋体" w:cs="Times New Roman"/>
                <w:b/>
                <w:bCs/>
                <w:iCs/>
                <w:color w:val="auto"/>
                <w:sz w:val="24"/>
                <w:szCs w:val="24"/>
                <w:u w:val="single"/>
              </w:rPr>
              <w:t>洒水喷头</w:t>
            </w:r>
            <w:r>
              <w:rPr>
                <w:rFonts w:hint="eastAsia" w:eastAsia="宋体" w:cs="Times New Roman"/>
                <w:b/>
                <w:bCs/>
                <w:iCs/>
                <w:color w:val="auto"/>
                <w:sz w:val="24"/>
                <w:szCs w:val="24"/>
                <w:u w:val="single"/>
                <w:lang w:val="en-US" w:eastAsia="zh-CN"/>
              </w:rPr>
              <w:t>20</w:t>
            </w:r>
            <w:r>
              <w:rPr>
                <w:rFonts w:hint="default" w:ascii="Times New Roman" w:hAnsi="Times New Roman" w:eastAsia="宋体" w:cs="Times New Roman"/>
                <w:b/>
                <w:bCs/>
                <w:iCs/>
                <w:color w:val="auto"/>
                <w:sz w:val="24"/>
                <w:szCs w:val="24"/>
                <w:u w:val="single"/>
              </w:rPr>
              <w:t>个，精细雾化喷嘴喷头流量一般在0.0125~0.24L/分，本次取</w:t>
            </w:r>
            <w:r>
              <w:rPr>
                <w:rFonts w:hint="eastAsia" w:ascii="Times New Roman" w:hAnsi="Times New Roman" w:eastAsia="宋体" w:cs="Times New Roman"/>
                <w:b/>
                <w:bCs/>
                <w:iCs/>
                <w:color w:val="auto"/>
                <w:sz w:val="24"/>
                <w:szCs w:val="24"/>
                <w:u w:val="single"/>
                <w:lang w:val="en-US" w:eastAsia="zh-CN"/>
              </w:rPr>
              <w:t>0.</w:t>
            </w:r>
            <w:r>
              <w:rPr>
                <w:rFonts w:hint="eastAsia" w:eastAsia="宋体" w:cs="Times New Roman"/>
                <w:b/>
                <w:bCs/>
                <w:iCs/>
                <w:color w:val="auto"/>
                <w:sz w:val="24"/>
                <w:szCs w:val="24"/>
                <w:u w:val="single"/>
                <w:lang w:val="en-US" w:eastAsia="zh-CN"/>
              </w:rPr>
              <w:t>2</w:t>
            </w:r>
            <w:r>
              <w:rPr>
                <w:rFonts w:hint="default" w:ascii="Times New Roman" w:hAnsi="Times New Roman" w:eastAsia="宋体" w:cs="Times New Roman"/>
                <w:b/>
                <w:bCs/>
                <w:iCs/>
                <w:color w:val="auto"/>
                <w:sz w:val="24"/>
                <w:szCs w:val="24"/>
                <w:u w:val="single"/>
              </w:rPr>
              <w:t>m</w:t>
            </w:r>
            <w:r>
              <w:rPr>
                <w:rFonts w:hint="default" w:ascii="Times New Roman" w:hAnsi="Times New Roman" w:eastAsia="宋体" w:cs="Times New Roman"/>
                <w:b/>
                <w:bCs/>
                <w:iCs/>
                <w:color w:val="auto"/>
                <w:sz w:val="24"/>
                <w:szCs w:val="24"/>
                <w:u w:val="single"/>
                <w:vertAlign w:val="superscript"/>
              </w:rPr>
              <w:t>3</w:t>
            </w:r>
            <w:r>
              <w:rPr>
                <w:rFonts w:hint="default" w:ascii="Times New Roman" w:hAnsi="Times New Roman" w:eastAsia="宋体" w:cs="Times New Roman"/>
                <w:b/>
                <w:bCs/>
                <w:iCs/>
                <w:color w:val="auto"/>
                <w:sz w:val="24"/>
                <w:szCs w:val="24"/>
                <w:u w:val="single"/>
              </w:rPr>
              <w:t>/h进行计算，每天开启</w:t>
            </w:r>
            <w:r>
              <w:rPr>
                <w:rFonts w:hint="eastAsia" w:eastAsia="宋体" w:cs="Times New Roman"/>
                <w:b/>
                <w:bCs/>
                <w:iCs/>
                <w:color w:val="auto"/>
                <w:sz w:val="24"/>
                <w:szCs w:val="24"/>
                <w:u w:val="single"/>
                <w:lang w:val="en-US" w:eastAsia="zh-CN"/>
              </w:rPr>
              <w:t>6</w:t>
            </w:r>
            <w:r>
              <w:rPr>
                <w:rFonts w:hint="default" w:ascii="Times New Roman" w:hAnsi="Times New Roman" w:eastAsia="宋体" w:cs="Times New Roman"/>
                <w:b/>
                <w:bCs/>
                <w:iCs/>
                <w:color w:val="auto"/>
                <w:sz w:val="24"/>
                <w:szCs w:val="24"/>
                <w:u w:val="single"/>
              </w:rPr>
              <w:t>h，根据计算，用水量约为</w:t>
            </w:r>
            <w:r>
              <w:rPr>
                <w:rFonts w:hint="eastAsia" w:eastAsia="宋体" w:cs="Times New Roman"/>
                <w:b/>
                <w:bCs/>
                <w:iCs/>
                <w:color w:val="auto"/>
                <w:sz w:val="24"/>
                <w:szCs w:val="24"/>
                <w:u w:val="single"/>
                <w:lang w:val="en-US" w:eastAsia="zh-CN"/>
              </w:rPr>
              <w:t>1.2</w:t>
            </w:r>
            <w:r>
              <w:rPr>
                <w:rFonts w:hint="default" w:ascii="Times New Roman" w:hAnsi="Times New Roman" w:eastAsia="宋体" w:cs="Times New Roman"/>
                <w:b/>
                <w:bCs/>
                <w:iCs/>
                <w:color w:val="auto"/>
                <w:sz w:val="24"/>
                <w:szCs w:val="24"/>
                <w:u w:val="single"/>
              </w:rPr>
              <w:t>m</w:t>
            </w:r>
            <w:r>
              <w:rPr>
                <w:rFonts w:hint="default" w:ascii="Times New Roman" w:hAnsi="Times New Roman" w:eastAsia="宋体" w:cs="Times New Roman"/>
                <w:b/>
                <w:bCs/>
                <w:iCs/>
                <w:color w:val="auto"/>
                <w:sz w:val="24"/>
                <w:szCs w:val="24"/>
                <w:u w:val="single"/>
                <w:vertAlign w:val="superscript"/>
              </w:rPr>
              <w:t>3</w:t>
            </w:r>
            <w:r>
              <w:rPr>
                <w:rFonts w:hint="default" w:ascii="Times New Roman" w:hAnsi="Times New Roman" w:eastAsia="宋体" w:cs="Times New Roman"/>
                <w:b/>
                <w:bCs/>
                <w:iCs/>
                <w:color w:val="auto"/>
                <w:sz w:val="24"/>
                <w:szCs w:val="24"/>
                <w:u w:val="single"/>
              </w:rPr>
              <w:t>/d（</w:t>
            </w:r>
            <w:r>
              <w:rPr>
                <w:rFonts w:hint="eastAsia" w:eastAsia="宋体" w:cs="Times New Roman"/>
                <w:b/>
                <w:bCs/>
                <w:iCs/>
                <w:color w:val="auto"/>
                <w:sz w:val="24"/>
                <w:szCs w:val="24"/>
                <w:u w:val="single"/>
                <w:lang w:val="en-US" w:eastAsia="zh-CN"/>
              </w:rPr>
              <w:t>360</w:t>
            </w:r>
            <w:r>
              <w:rPr>
                <w:rFonts w:hint="default" w:ascii="Times New Roman" w:hAnsi="Times New Roman" w:eastAsia="宋体" w:cs="Times New Roman"/>
                <w:b/>
                <w:bCs/>
                <w:iCs/>
                <w:color w:val="auto"/>
                <w:sz w:val="24"/>
                <w:szCs w:val="24"/>
                <w:u w:val="single"/>
              </w:rPr>
              <w:t>m</w:t>
            </w:r>
            <w:r>
              <w:rPr>
                <w:rFonts w:hint="default" w:ascii="Times New Roman" w:hAnsi="Times New Roman" w:eastAsia="宋体" w:cs="Times New Roman"/>
                <w:b/>
                <w:bCs/>
                <w:iCs/>
                <w:color w:val="auto"/>
                <w:sz w:val="24"/>
                <w:szCs w:val="24"/>
                <w:u w:val="single"/>
                <w:vertAlign w:val="superscript"/>
              </w:rPr>
              <w:t>3</w:t>
            </w:r>
            <w:r>
              <w:rPr>
                <w:rFonts w:hint="default" w:ascii="Times New Roman" w:hAnsi="Times New Roman" w:eastAsia="宋体" w:cs="Times New Roman"/>
                <w:b/>
                <w:bCs/>
                <w:iCs/>
                <w:color w:val="auto"/>
                <w:sz w:val="24"/>
                <w:szCs w:val="24"/>
                <w:u w:val="single"/>
              </w:rPr>
              <w:t xml:space="preserve">/a）。此部分用水全部随物料进入生产系统，有抑尘增湿作用，对环境起改善作用，无废水外排。 </w:t>
            </w:r>
          </w:p>
          <w:p>
            <w:pPr>
              <w:spacing w:line="520" w:lineRule="exact"/>
              <w:ind w:firstLine="480" w:firstLineChars="200"/>
              <w:outlineLvl w:val="0"/>
              <w:rPr>
                <w:rFonts w:hint="eastAsia" w:ascii="Times New Roman" w:hAnsi="Times New Roman" w:eastAsia="宋体" w:cs="Times New Roman"/>
                <w:bCs/>
                <w:iCs/>
                <w:sz w:val="24"/>
                <w:szCs w:val="24"/>
                <w:lang w:val="en-US" w:eastAsia="zh-CN"/>
              </w:rPr>
            </w:pPr>
            <w:r>
              <w:rPr>
                <w:sz w:val="24"/>
              </w:rPr>
              <w:t>同时厂区路面也需要洒水抑尘</w:t>
            </w:r>
            <w:r>
              <w:rPr>
                <w:rFonts w:hint="default" w:ascii="Times New Roman" w:hAnsi="Times New Roman" w:eastAsia="宋体" w:cs="Times New Roman"/>
                <w:bCs/>
                <w:iCs/>
                <w:sz w:val="24"/>
                <w:szCs w:val="24"/>
                <w:lang w:eastAsia="zh-CN"/>
              </w:rPr>
              <w:t>，洒水用水量按</w:t>
            </w:r>
            <w:r>
              <w:rPr>
                <w:rFonts w:hint="default" w:ascii="Times New Roman" w:hAnsi="Times New Roman" w:eastAsia="宋体" w:cs="Times New Roman"/>
                <w:bCs/>
                <w:iCs/>
                <w:sz w:val="24"/>
                <w:szCs w:val="24"/>
                <w:lang w:val="en-US" w:eastAsia="zh-CN"/>
              </w:rPr>
              <w:t>0.2L/m</w:t>
            </w:r>
            <w:r>
              <w:rPr>
                <w:rFonts w:hint="default" w:ascii="Times New Roman" w:hAnsi="Times New Roman" w:eastAsia="宋体" w:cs="Times New Roman"/>
                <w:bCs/>
                <w:iCs/>
                <w:sz w:val="24"/>
                <w:szCs w:val="24"/>
                <w:vertAlign w:val="superscript"/>
                <w:lang w:val="en-US" w:eastAsia="zh-CN"/>
              </w:rPr>
              <w:t>2</w:t>
            </w:r>
            <w:r>
              <w:rPr>
                <w:rFonts w:hint="default" w:ascii="Times New Roman" w:hAnsi="Times New Roman" w:eastAsia="宋体" w:cs="Times New Roman"/>
                <w:bCs/>
                <w:iCs/>
                <w:sz w:val="24"/>
                <w:szCs w:val="24"/>
                <w:lang w:val="en-US" w:eastAsia="zh-CN"/>
              </w:rPr>
              <w:t>·次，每天洒水4次计，</w:t>
            </w:r>
            <w:r>
              <w:rPr>
                <w:rFonts w:hint="eastAsia" w:ascii="Times New Roman" w:hAnsi="Times New Roman" w:eastAsia="宋体" w:cs="Times New Roman"/>
                <w:bCs/>
                <w:iCs/>
                <w:sz w:val="24"/>
                <w:szCs w:val="24"/>
                <w:lang w:eastAsia="zh-CN"/>
              </w:rPr>
              <w:t>厂区道路面积约</w:t>
            </w:r>
            <w:r>
              <w:rPr>
                <w:rFonts w:hint="eastAsia" w:eastAsia="宋体" w:cs="Times New Roman"/>
                <w:bCs/>
                <w:iCs/>
                <w:sz w:val="24"/>
                <w:szCs w:val="24"/>
                <w:lang w:val="en-US" w:eastAsia="zh-CN"/>
              </w:rPr>
              <w:t>4</w:t>
            </w:r>
            <w:r>
              <w:rPr>
                <w:rFonts w:hint="eastAsia" w:ascii="Times New Roman" w:hAnsi="Times New Roman" w:eastAsia="宋体" w:cs="Times New Roman"/>
                <w:bCs/>
                <w:iCs/>
                <w:sz w:val="24"/>
                <w:szCs w:val="24"/>
                <w:lang w:val="en-US" w:eastAsia="zh-CN"/>
              </w:rPr>
              <w:t>000m</w:t>
            </w:r>
            <w:r>
              <w:rPr>
                <w:rFonts w:hint="eastAsia" w:ascii="Times New Roman" w:hAnsi="Times New Roman" w:eastAsia="宋体" w:cs="Times New Roman"/>
                <w:bCs/>
                <w:iCs/>
                <w:sz w:val="24"/>
                <w:szCs w:val="24"/>
                <w:vertAlign w:val="superscript"/>
                <w:lang w:val="en-US" w:eastAsia="zh-CN"/>
              </w:rPr>
              <w:t>2</w:t>
            </w:r>
            <w:r>
              <w:rPr>
                <w:rFonts w:hint="eastAsia" w:ascii="Times New Roman" w:hAnsi="Times New Roman" w:eastAsia="宋体" w:cs="Times New Roman"/>
                <w:bCs/>
                <w:iCs/>
                <w:sz w:val="24"/>
                <w:szCs w:val="24"/>
                <w:lang w:val="en-US" w:eastAsia="zh-CN"/>
              </w:rPr>
              <w:t>，每年洒水约250d，则厂区道路</w:t>
            </w:r>
            <w:r>
              <w:rPr>
                <w:rFonts w:hint="eastAsia" w:cs="Times New Roman"/>
                <w:bCs/>
                <w:iCs/>
                <w:sz w:val="24"/>
                <w:szCs w:val="24"/>
                <w:lang w:val="en-US" w:eastAsia="zh-CN"/>
              </w:rPr>
              <w:t>降尘</w:t>
            </w:r>
            <w:r>
              <w:rPr>
                <w:rFonts w:hint="eastAsia" w:ascii="Times New Roman" w:hAnsi="Times New Roman" w:eastAsia="宋体" w:cs="Times New Roman"/>
                <w:bCs/>
                <w:iCs/>
                <w:sz w:val="24"/>
                <w:szCs w:val="24"/>
                <w:lang w:val="en-US" w:eastAsia="zh-CN"/>
              </w:rPr>
              <w:t>用水量为</w:t>
            </w:r>
            <w:r>
              <w:rPr>
                <w:rFonts w:hint="eastAsia" w:eastAsia="宋体" w:cs="Times New Roman"/>
                <w:bCs/>
                <w:iCs/>
                <w:sz w:val="24"/>
                <w:szCs w:val="24"/>
                <w:lang w:val="en-US" w:eastAsia="zh-CN"/>
              </w:rPr>
              <w:t>3.2</w:t>
            </w:r>
            <w:r>
              <w:rPr>
                <w:rFonts w:hint="eastAsia" w:ascii="Times New Roman" w:hAnsi="Times New Roman" w:eastAsia="宋体" w:cs="Times New Roman"/>
                <w:bCs/>
                <w:iCs/>
                <w:sz w:val="24"/>
                <w:szCs w:val="24"/>
                <w:lang w:val="en-US" w:eastAsia="zh-CN"/>
              </w:rPr>
              <w:t>m</w:t>
            </w:r>
            <w:r>
              <w:rPr>
                <w:rFonts w:hint="eastAsia" w:ascii="Times New Roman" w:hAnsi="Times New Roman" w:eastAsia="宋体" w:cs="Times New Roman"/>
                <w:bCs/>
                <w:iCs/>
                <w:sz w:val="24"/>
                <w:szCs w:val="24"/>
                <w:vertAlign w:val="superscript"/>
                <w:lang w:val="en-US" w:eastAsia="zh-CN"/>
              </w:rPr>
              <w:t>3</w:t>
            </w:r>
            <w:r>
              <w:rPr>
                <w:rFonts w:hint="eastAsia" w:ascii="Times New Roman" w:hAnsi="Times New Roman" w:eastAsia="宋体" w:cs="Times New Roman"/>
                <w:bCs/>
                <w:iCs/>
                <w:sz w:val="24"/>
                <w:szCs w:val="24"/>
                <w:lang w:val="en-US" w:eastAsia="zh-CN"/>
              </w:rPr>
              <w:t>/d（</w:t>
            </w:r>
            <w:r>
              <w:rPr>
                <w:rFonts w:hint="eastAsia" w:eastAsia="宋体" w:cs="Times New Roman"/>
                <w:bCs/>
                <w:iCs/>
                <w:sz w:val="24"/>
                <w:szCs w:val="24"/>
                <w:lang w:val="en-US" w:eastAsia="zh-CN"/>
              </w:rPr>
              <w:t>800</w:t>
            </w:r>
            <w:r>
              <w:rPr>
                <w:rFonts w:hint="eastAsia" w:ascii="Times New Roman" w:hAnsi="Times New Roman" w:eastAsia="宋体" w:cs="Times New Roman"/>
                <w:bCs/>
                <w:iCs/>
                <w:sz w:val="24"/>
                <w:szCs w:val="24"/>
                <w:lang w:val="en-US" w:eastAsia="zh-CN"/>
              </w:rPr>
              <w:t>m</w:t>
            </w:r>
            <w:r>
              <w:rPr>
                <w:rFonts w:hint="eastAsia" w:ascii="Times New Roman" w:hAnsi="Times New Roman" w:eastAsia="宋体" w:cs="Times New Roman"/>
                <w:bCs/>
                <w:iCs/>
                <w:sz w:val="24"/>
                <w:szCs w:val="24"/>
                <w:vertAlign w:val="superscript"/>
                <w:lang w:val="en-US" w:eastAsia="zh-CN"/>
              </w:rPr>
              <w:t>3</w:t>
            </w:r>
            <w:r>
              <w:rPr>
                <w:rFonts w:hint="eastAsia" w:ascii="Times New Roman" w:hAnsi="Times New Roman" w:eastAsia="宋体" w:cs="Times New Roman"/>
                <w:bCs/>
                <w:iCs/>
                <w:sz w:val="24"/>
                <w:szCs w:val="24"/>
                <w:lang w:val="en-US" w:eastAsia="zh-CN"/>
              </w:rPr>
              <w:t>/a）。该用水全部蒸发，无废水外排。</w:t>
            </w:r>
          </w:p>
          <w:p>
            <w:pPr>
              <w:spacing w:line="520" w:lineRule="exact"/>
              <w:ind w:firstLine="480" w:firstLineChars="200"/>
              <w:outlineLvl w:val="0"/>
              <w:rPr>
                <w:sz w:val="24"/>
              </w:rPr>
            </w:pPr>
            <w:r>
              <w:rPr>
                <w:sz w:val="24"/>
              </w:rPr>
              <w:t>（4）场地、设备冲洗废水</w:t>
            </w:r>
          </w:p>
          <w:p>
            <w:pPr>
              <w:spacing w:line="520" w:lineRule="exact"/>
              <w:ind w:firstLine="480" w:firstLineChars="200"/>
              <w:outlineLvl w:val="0"/>
              <w:rPr>
                <w:sz w:val="24"/>
              </w:rPr>
            </w:pPr>
            <w:r>
              <w:rPr>
                <w:sz w:val="24"/>
              </w:rPr>
              <w:t>本项目运营过程中，需要定期对各生产车间场地、设备进行冲洗，用水量约2t/次，冲洗周期为每天一次，则场地、设备冲洗用水约</w:t>
            </w:r>
            <w:r>
              <w:rPr>
                <w:rFonts w:hint="eastAsia"/>
                <w:sz w:val="24"/>
                <w:lang w:val="en-US" w:eastAsia="zh-CN"/>
              </w:rPr>
              <w:t>2</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600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/a，按污水产生系数0.9计，则场地、设备冲洗废水产生量约为</w:t>
            </w:r>
            <w:r>
              <w:rPr>
                <w:rFonts w:hint="eastAsia"/>
                <w:sz w:val="24"/>
                <w:lang w:val="en-US" w:eastAsia="zh-CN"/>
              </w:rPr>
              <w:t>1.8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540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/a。该部分废水收集后进入沉淀池，经沉淀后作为工艺用水回用于生产，综合利用，不外排。</w:t>
            </w:r>
          </w:p>
          <w:p>
            <w:pPr>
              <w:spacing w:line="520" w:lineRule="exact"/>
              <w:ind w:firstLine="480" w:firstLineChars="200"/>
              <w:outlineLvl w:val="0"/>
              <w:rPr>
                <w:sz w:val="24"/>
              </w:rPr>
            </w:pPr>
            <w:r>
              <w:rPr>
                <w:sz w:val="24"/>
              </w:rPr>
              <w:t>（5）车辆冲洗水</w:t>
            </w:r>
          </w:p>
          <w:p>
            <w:pPr>
              <w:spacing w:line="520" w:lineRule="exact"/>
              <w:ind w:firstLine="480" w:firstLineChars="200"/>
              <w:outlineLvl w:val="0"/>
              <w:rPr>
                <w:sz w:val="24"/>
              </w:rPr>
            </w:pPr>
            <w:r>
              <w:rPr>
                <w:bCs/>
                <w:sz w:val="24"/>
              </w:rPr>
              <w:t>为减轻车辆进出厂区产生的二次扬尘，评价要求建设单位在厂区进出口设置车辆自动冲洗装置和清洗水沉淀池，对进出车辆进行冲洗。</w:t>
            </w:r>
            <w:r>
              <w:rPr>
                <w:rFonts w:hint="default" w:ascii="Times New Roman" w:hAnsi="Times New Roman" w:eastAsia="宋体" w:cs="Times New Roman"/>
                <w:bCs/>
                <w:iCs/>
                <w:sz w:val="24"/>
                <w:szCs w:val="24"/>
                <w:lang w:eastAsia="zh-CN"/>
              </w:rPr>
              <w:t>类比同类型项目</w:t>
            </w:r>
            <w:r>
              <w:rPr>
                <w:rFonts w:hint="default" w:ascii="Times New Roman" w:hAnsi="Times New Roman" w:eastAsia="宋体" w:cs="Times New Roman"/>
                <w:bCs/>
                <w:iCs/>
                <w:sz w:val="24"/>
                <w:szCs w:val="24"/>
              </w:rPr>
              <w:t>，单辆运输车冲洗用水量为0.1m</w:t>
            </w:r>
            <w:r>
              <w:rPr>
                <w:rFonts w:hint="default" w:ascii="Times New Roman" w:hAnsi="Times New Roman" w:eastAsia="宋体" w:cs="Times New Roman"/>
                <w:bCs/>
                <w:iCs/>
                <w:sz w:val="24"/>
                <w:szCs w:val="24"/>
                <w:vertAlign w:val="superscript"/>
              </w:rPr>
              <w:t>3</w:t>
            </w:r>
            <w:r>
              <w:rPr>
                <w:rFonts w:hint="default" w:ascii="Times New Roman" w:hAnsi="Times New Roman" w:eastAsia="宋体" w:cs="Times New Roman"/>
                <w:bCs/>
                <w:iCs/>
                <w:sz w:val="24"/>
                <w:szCs w:val="24"/>
              </w:rPr>
              <w:t>/辆次，</w:t>
            </w:r>
            <w:r>
              <w:rPr>
                <w:sz w:val="24"/>
              </w:rPr>
              <w:t>本项目运输车辆每年进出厂区</w:t>
            </w:r>
            <w:r>
              <w:rPr>
                <w:rFonts w:hint="eastAsia"/>
                <w:sz w:val="24"/>
              </w:rPr>
              <w:t>3334</w:t>
            </w:r>
            <w:r>
              <w:rPr>
                <w:sz w:val="24"/>
              </w:rPr>
              <w:t>车次，</w:t>
            </w:r>
            <w:r>
              <w:rPr>
                <w:rFonts w:hint="default" w:ascii="Times New Roman" w:hAnsi="Times New Roman" w:eastAsia="宋体" w:cs="Times New Roman"/>
                <w:bCs/>
                <w:iCs/>
                <w:sz w:val="24"/>
                <w:szCs w:val="24"/>
              </w:rPr>
              <w:t>每</w:t>
            </w:r>
            <w:r>
              <w:rPr>
                <w:rFonts w:hint="default" w:ascii="Times New Roman" w:hAnsi="Times New Roman" w:eastAsia="宋体" w:cs="Times New Roman"/>
                <w:bCs/>
                <w:iCs/>
                <w:sz w:val="24"/>
                <w:szCs w:val="24"/>
                <w:lang w:eastAsia="zh-CN"/>
              </w:rPr>
              <w:t>天约</w:t>
            </w:r>
            <w:r>
              <w:rPr>
                <w:rFonts w:hint="default" w:ascii="Times New Roman" w:hAnsi="Times New Roman" w:eastAsia="宋体" w:cs="Times New Roman"/>
                <w:bCs/>
                <w:iCs/>
                <w:sz w:val="24"/>
                <w:szCs w:val="24"/>
              </w:rPr>
              <w:t>运输</w:t>
            </w:r>
            <w:r>
              <w:rPr>
                <w:rFonts w:hint="eastAsia" w:eastAsia="宋体" w:cs="Times New Roman"/>
                <w:bCs/>
                <w:iCs/>
                <w:sz w:val="24"/>
                <w:szCs w:val="24"/>
                <w:lang w:val="en-US" w:eastAsia="zh-CN"/>
              </w:rPr>
              <w:t>12</w:t>
            </w:r>
            <w:r>
              <w:rPr>
                <w:rFonts w:hint="default" w:ascii="Times New Roman" w:hAnsi="Times New Roman" w:eastAsia="宋体" w:cs="Times New Roman"/>
                <w:bCs/>
                <w:iCs/>
                <w:sz w:val="24"/>
                <w:szCs w:val="24"/>
              </w:rPr>
              <w:t>辆次，</w:t>
            </w:r>
            <w:r>
              <w:rPr>
                <w:sz w:val="24"/>
              </w:rPr>
              <w:t>则冲洗水用量</w:t>
            </w:r>
            <w:r>
              <w:rPr>
                <w:rFonts w:hint="eastAsia"/>
                <w:sz w:val="24"/>
              </w:rPr>
              <w:t>约</w:t>
            </w:r>
            <w:r>
              <w:rPr>
                <w:sz w:val="24"/>
              </w:rPr>
              <w:t>为</w:t>
            </w:r>
            <w:r>
              <w:rPr>
                <w:rFonts w:hint="eastAsia"/>
                <w:sz w:val="24"/>
                <w:lang w:val="en-US" w:eastAsia="zh-CN"/>
              </w:rPr>
              <w:t>1.2</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360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r>
              <w:rPr>
                <w:rFonts w:hint="eastAsia"/>
                <w:sz w:val="24"/>
                <w:lang w:eastAsia="zh-CN"/>
              </w:rPr>
              <w:t>；</w:t>
            </w:r>
            <w:r>
              <w:rPr>
                <w:rFonts w:hint="default" w:ascii="Times New Roman" w:hAnsi="Times New Roman" w:eastAsia="宋体" w:cs="Times New Roman"/>
                <w:bCs/>
                <w:iCs/>
                <w:sz w:val="24"/>
                <w:szCs w:val="24"/>
              </w:rPr>
              <w:t>由于蒸发、车辆带走造成废水损失率按20%计，</w:t>
            </w:r>
            <w:r>
              <w:rPr>
                <w:rFonts w:hint="eastAsia" w:eastAsia="宋体" w:cs="Times New Roman"/>
                <w:bCs/>
                <w:iCs/>
                <w:sz w:val="24"/>
                <w:szCs w:val="24"/>
                <w:lang w:eastAsia="zh-CN"/>
              </w:rPr>
              <w:t>则</w:t>
            </w:r>
            <w:r>
              <w:rPr>
                <w:sz w:val="24"/>
              </w:rPr>
              <w:t>冲洗废水产生量为</w:t>
            </w:r>
            <w:r>
              <w:rPr>
                <w:rFonts w:hint="eastAsia"/>
                <w:sz w:val="24"/>
                <w:lang w:val="en-US" w:eastAsia="zh-CN"/>
              </w:rPr>
              <w:t>0.96</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288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/a。该部分废水主要污染物为SS，经沉淀池沉淀后回用于车辆冲洗，综合利用，不外排。</w:t>
            </w:r>
          </w:p>
          <w:p>
            <w:pPr>
              <w:spacing w:line="520" w:lineRule="exact"/>
              <w:ind w:firstLine="480" w:firstLineChars="200"/>
              <w:outlineLvl w:val="0"/>
              <w:rPr>
                <w:sz w:val="24"/>
              </w:rPr>
            </w:pPr>
            <w:r>
              <w:rPr>
                <w:sz w:val="24"/>
              </w:rPr>
              <w:t>（6）生活污水</w:t>
            </w:r>
          </w:p>
          <w:p>
            <w:pPr>
              <w:spacing w:line="520" w:lineRule="exact"/>
              <w:ind w:firstLine="480" w:firstLineChars="200"/>
              <w:outlineLvl w:val="0"/>
              <w:rPr>
                <w:sz w:val="24"/>
              </w:rPr>
            </w:pPr>
            <w:r>
              <w:rPr>
                <w:sz w:val="24"/>
              </w:rPr>
              <w:t>本项目职工定员</w:t>
            </w:r>
            <w:r>
              <w:rPr>
                <w:rFonts w:hint="eastAsia"/>
                <w:sz w:val="24"/>
              </w:rPr>
              <w:t>7</w:t>
            </w:r>
            <w:r>
              <w:rPr>
                <w:sz w:val="24"/>
              </w:rPr>
              <w:t>人，中午在厂内就餐，平均每天2人在场内住宿。</w:t>
            </w:r>
            <w:r>
              <w:rPr>
                <w:rFonts w:hint="default" w:ascii="Times New Roman" w:hAnsi="Times New Roman" w:eastAsia="宋体" w:cs="Times New Roman"/>
                <w:b w:val="0"/>
                <w:bCs/>
                <w:sz w:val="24"/>
                <w:u w:val="none"/>
                <w:lang w:eastAsia="zh-CN"/>
              </w:rPr>
              <w:t>河南省地方标准《工业与城镇生活用水定额》（DB41</w:t>
            </w:r>
            <w:r>
              <w:rPr>
                <w:rFonts w:hint="default" w:ascii="Times New Roman" w:hAnsi="Times New Roman" w:eastAsia="宋体" w:cs="Times New Roman"/>
                <w:b w:val="0"/>
                <w:bCs/>
                <w:sz w:val="24"/>
                <w:u w:val="none"/>
                <w:lang w:val="en-US" w:eastAsia="zh-CN"/>
              </w:rPr>
              <w:t>/</w:t>
            </w:r>
            <w:r>
              <w:rPr>
                <w:rFonts w:hint="default" w:ascii="Times New Roman" w:hAnsi="Times New Roman" w:eastAsia="宋体" w:cs="Times New Roman"/>
                <w:b w:val="0"/>
                <w:bCs/>
                <w:sz w:val="24"/>
                <w:u w:val="none"/>
                <w:lang w:eastAsia="zh-CN"/>
              </w:rPr>
              <w:t>T385-20</w:t>
            </w:r>
            <w:r>
              <w:rPr>
                <w:rFonts w:hint="default" w:ascii="Times New Roman" w:hAnsi="Times New Roman" w:eastAsia="宋体" w:cs="Times New Roman"/>
                <w:b w:val="0"/>
                <w:bCs/>
                <w:sz w:val="24"/>
                <w:u w:val="none"/>
                <w:lang w:val="en-US" w:eastAsia="zh-CN"/>
              </w:rPr>
              <w:t>20</w:t>
            </w:r>
            <w:r>
              <w:rPr>
                <w:rFonts w:hint="default" w:ascii="Times New Roman" w:hAnsi="Times New Roman" w:eastAsia="宋体" w:cs="Times New Roman"/>
                <w:b w:val="0"/>
                <w:bCs/>
                <w:sz w:val="24"/>
                <w:u w:val="none"/>
                <w:lang w:eastAsia="zh-CN"/>
              </w:rPr>
              <w:t>）</w:t>
            </w:r>
            <w:r>
              <w:rPr>
                <w:sz w:val="24"/>
              </w:rPr>
              <w:t>中的相关标准，午餐职工用水定额按60L/d·人计，住宿职工用水定额按</w:t>
            </w:r>
            <w:r>
              <w:rPr>
                <w:rFonts w:hint="eastAsia"/>
                <w:sz w:val="24"/>
                <w:lang w:val="en-US" w:eastAsia="zh-CN"/>
              </w:rPr>
              <w:t>80</w:t>
            </w:r>
            <w:r>
              <w:rPr>
                <w:sz w:val="24"/>
              </w:rPr>
              <w:t>L/d·人计，则用水量为</w:t>
            </w:r>
            <w:r>
              <w:rPr>
                <w:rFonts w:hint="eastAsia"/>
                <w:sz w:val="24"/>
                <w:lang w:val="en-US" w:eastAsia="zh-CN"/>
              </w:rPr>
              <w:t>0.46</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138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/a，污水产生系数以0.8计，则生活污水产生量</w:t>
            </w:r>
            <w:r>
              <w:rPr>
                <w:rFonts w:hint="eastAsia"/>
                <w:sz w:val="24"/>
                <w:lang w:val="en-US" w:eastAsia="zh-CN"/>
              </w:rPr>
              <w:t>0.368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110.4</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p>
          <w:p>
            <w:pPr>
              <w:spacing w:line="520" w:lineRule="exact"/>
              <w:ind w:firstLine="480" w:firstLineChars="200"/>
              <w:outlineLvl w:val="0"/>
              <w:rPr>
                <w:color w:val="auto"/>
                <w:sz w:val="24"/>
              </w:rPr>
            </w:pPr>
            <w:r>
              <w:rPr>
                <w:color w:val="auto"/>
                <w:sz w:val="24"/>
              </w:rPr>
              <w:t>查阅相关资料类比，生活污水各污染物产生情况为COD:300mg/L、0.0</w:t>
            </w:r>
            <w:r>
              <w:rPr>
                <w:rFonts w:hint="eastAsia"/>
                <w:color w:val="auto"/>
                <w:sz w:val="24"/>
              </w:rPr>
              <w:t>3</w:t>
            </w:r>
            <w:r>
              <w:rPr>
                <w:rFonts w:hint="eastAsia"/>
                <w:color w:val="auto"/>
                <w:sz w:val="24"/>
                <w:lang w:val="en-US" w:eastAsia="zh-CN"/>
              </w:rPr>
              <w:t>312</w:t>
            </w:r>
            <w:r>
              <w:rPr>
                <w:color w:val="auto"/>
                <w:sz w:val="24"/>
              </w:rPr>
              <w:t>t/a，BOD:150mg/L、</w:t>
            </w:r>
            <w:r>
              <w:rPr>
                <w:rFonts w:hint="eastAsia"/>
                <w:color w:val="auto"/>
                <w:sz w:val="24"/>
                <w:lang w:val="en-US" w:eastAsia="zh-CN"/>
              </w:rPr>
              <w:t>0.01656</w:t>
            </w:r>
            <w:r>
              <w:rPr>
                <w:color w:val="auto"/>
                <w:sz w:val="24"/>
              </w:rPr>
              <w:t>t/a，SS:150mg/L、</w:t>
            </w:r>
            <w:r>
              <w:rPr>
                <w:rFonts w:hint="eastAsia"/>
                <w:color w:val="auto"/>
                <w:sz w:val="24"/>
                <w:lang w:val="en-US" w:eastAsia="zh-CN"/>
              </w:rPr>
              <w:t>0.01656</w:t>
            </w:r>
            <w:r>
              <w:rPr>
                <w:color w:val="auto"/>
                <w:sz w:val="24"/>
              </w:rPr>
              <w:t>t/a，NH</w:t>
            </w:r>
            <w:r>
              <w:rPr>
                <w:color w:val="auto"/>
                <w:sz w:val="24"/>
                <w:vertAlign w:val="subscript"/>
              </w:rPr>
              <w:t>3</w:t>
            </w:r>
            <w:r>
              <w:rPr>
                <w:color w:val="auto"/>
                <w:sz w:val="24"/>
              </w:rPr>
              <w:t>-N:30mg/L、0.00</w:t>
            </w:r>
            <w:r>
              <w:rPr>
                <w:rFonts w:hint="eastAsia"/>
                <w:color w:val="auto"/>
                <w:sz w:val="24"/>
                <w:lang w:val="en-US" w:eastAsia="zh-CN"/>
              </w:rPr>
              <w:t>03312</w:t>
            </w:r>
            <w:r>
              <w:rPr>
                <w:color w:val="auto"/>
                <w:sz w:val="24"/>
              </w:rPr>
              <w:t>t/a。</w:t>
            </w:r>
          </w:p>
          <w:p>
            <w:pPr>
              <w:spacing w:line="520" w:lineRule="exact"/>
              <w:ind w:firstLine="480" w:firstLineChars="200"/>
              <w:outlineLvl w:val="0"/>
              <w:rPr>
                <w:sz w:val="24"/>
              </w:rPr>
            </w:pPr>
            <w:r>
              <w:rPr>
                <w:sz w:val="24"/>
              </w:rPr>
              <w:t>由于项目所在地现无配套市政排水管网，本项目运营期生活污水产生量较少，且水质较为简单，无特殊污染因子，生活污水经</w:t>
            </w:r>
            <w:r>
              <w:rPr>
                <w:rFonts w:hint="eastAsia"/>
                <w:sz w:val="24"/>
                <w:lang w:eastAsia="zh-CN"/>
              </w:rPr>
              <w:t>原有</w:t>
            </w:r>
            <w:r>
              <w:rPr>
                <w:sz w:val="24"/>
              </w:rPr>
              <w:t>化粪池处理后定期清理用于周边农田施肥，综合利用，不外排，对周围地表水环境影响不大。</w:t>
            </w:r>
          </w:p>
          <w:p>
            <w:pPr>
              <w:tabs>
                <w:tab w:val="left" w:pos="1860"/>
              </w:tabs>
              <w:spacing w:line="520" w:lineRule="exact"/>
              <w:ind w:firstLine="480" w:firstLineChars="200"/>
              <w:rPr>
                <w:sz w:val="24"/>
              </w:rPr>
            </w:pPr>
            <w:r>
              <w:rPr>
                <w:sz w:val="24"/>
              </w:rPr>
              <w:t>（7）雨水</w:t>
            </w:r>
          </w:p>
          <w:p>
            <w:pPr>
              <w:tabs>
                <w:tab w:val="left" w:pos="1860"/>
              </w:tabs>
              <w:spacing w:line="520" w:lineRule="exact"/>
              <w:ind w:firstLine="480" w:firstLineChars="200"/>
              <w:rPr>
                <w:sz w:val="24"/>
              </w:rPr>
            </w:pPr>
            <w:r>
              <w:rPr>
                <w:sz w:val="24"/>
              </w:rPr>
              <w:t>项目采用雨、污分流。根据给排水软件，本项目雨水计算采用下列公式：</w:t>
            </w:r>
          </w:p>
          <w:p>
            <w:pPr>
              <w:pStyle w:val="21"/>
              <w:keepNext w:val="0"/>
              <w:keepLines w:val="0"/>
              <w:pageBreakBefore w:val="0"/>
              <w:widowControl w:val="0"/>
              <w:kinsoku/>
              <w:wordWrap/>
              <w:overflowPunct/>
              <w:topLinePunct w:val="0"/>
              <w:autoSpaceDE/>
              <w:autoSpaceDN/>
              <w:bidi w:val="0"/>
              <w:adjustRightInd/>
              <w:snapToGrid/>
              <w:spacing w:after="0"/>
              <w:ind w:firstLine="3600" w:firstLineChars="1500"/>
              <w:textAlignment w:val="auto"/>
              <w:rPr>
                <w:rFonts w:hint="default" w:eastAsia="宋体"/>
                <w:lang w:val="en-US" w:eastAsia="zh-CN"/>
              </w:rPr>
            </w:pPr>
            <w:r>
              <w:rPr>
                <w:kern w:val="0"/>
                <w:sz w:val="24"/>
              </w:rPr>
              <w:t>Q</w:t>
            </w:r>
            <w:r>
              <w:rPr>
                <w:rFonts w:hAnsi="宋体"/>
                <w:kern w:val="0"/>
                <w:sz w:val="24"/>
              </w:rPr>
              <w:t>＝</w:t>
            </w:r>
            <w:r>
              <w:rPr>
                <w:bCs/>
                <w:kern w:val="0"/>
                <w:sz w:val="24"/>
              </w:rPr>
              <w:t>φ×</w:t>
            </w:r>
            <w:r>
              <w:rPr>
                <w:kern w:val="0"/>
                <w:sz w:val="24"/>
              </w:rPr>
              <w:t>q</w:t>
            </w:r>
            <w:r>
              <w:rPr>
                <w:bCs/>
                <w:kern w:val="0"/>
                <w:sz w:val="24"/>
              </w:rPr>
              <w:t>×</w:t>
            </w:r>
            <w:r>
              <w:rPr>
                <w:kern w:val="0"/>
                <w:sz w:val="24"/>
              </w:rPr>
              <w:t>F</w:t>
            </w:r>
            <w:r>
              <w:rPr>
                <w:bCs/>
                <w:kern w:val="0"/>
                <w:sz w:val="24"/>
              </w:rPr>
              <w:t>×</w:t>
            </w:r>
            <w:r>
              <w:rPr>
                <w:kern w:val="0"/>
                <w:sz w:val="24"/>
              </w:rPr>
              <w:t>t</w:t>
            </w:r>
          </w:p>
          <w:p>
            <w:pPr>
              <w:tabs>
                <w:tab w:val="left" w:pos="1860"/>
              </w:tabs>
              <w:spacing w:line="360" w:lineRule="auto"/>
              <w:ind w:firstLine="1200" w:firstLineChars="500"/>
              <w:jc w:val="center"/>
              <w:rPr>
                <w:sz w:val="24"/>
              </w:rPr>
            </w:pPr>
            <w:r>
              <w:rPr>
                <w:position w:val="-24"/>
                <w:sz w:val="24"/>
              </w:rPr>
              <w:object>
                <v:shape id="_x0000_i1030" o:spt="75" type="#_x0000_t75" style="height:30.75pt;width:122.2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p>
          <w:p>
            <w:pPr>
              <w:autoSpaceDE w:val="0"/>
              <w:autoSpaceDN w:val="0"/>
              <w:adjustRightInd w:val="0"/>
              <w:spacing w:line="480" w:lineRule="exact"/>
              <w:ind w:firstLine="480" w:firstLineChars="200"/>
              <w:jc w:val="left"/>
              <w:rPr>
                <w:kern w:val="0"/>
                <w:sz w:val="24"/>
              </w:rPr>
            </w:pPr>
            <w:r>
              <w:rPr>
                <w:sz w:val="24"/>
              </w:rPr>
              <w:t>式中：</w:t>
            </w:r>
            <w:r>
              <w:rPr>
                <w:bCs/>
                <w:kern w:val="0"/>
                <w:sz w:val="24"/>
              </w:rPr>
              <w:t>φ</w:t>
            </w:r>
            <w:r>
              <w:rPr>
                <w:rFonts w:hAnsi="宋体"/>
                <w:kern w:val="0"/>
                <w:sz w:val="24"/>
              </w:rPr>
              <w:t>：径流系数，取</w:t>
            </w:r>
            <w:r>
              <w:rPr>
                <w:kern w:val="0"/>
                <w:sz w:val="24"/>
              </w:rPr>
              <w:t>0.</w:t>
            </w:r>
            <w:r>
              <w:rPr>
                <w:rFonts w:hint="eastAsia"/>
                <w:kern w:val="0"/>
                <w:sz w:val="24"/>
              </w:rPr>
              <w:t>9</w:t>
            </w:r>
            <w:r>
              <w:rPr>
                <w:rFonts w:hAnsi="宋体"/>
                <w:kern w:val="0"/>
                <w:sz w:val="24"/>
              </w:rPr>
              <w:t>；</w:t>
            </w:r>
            <w:r>
              <w:rPr>
                <w:kern w:val="0"/>
                <w:sz w:val="24"/>
              </w:rPr>
              <w:t xml:space="preserve"> </w:t>
            </w:r>
          </w:p>
          <w:p>
            <w:pPr>
              <w:autoSpaceDE w:val="0"/>
              <w:autoSpaceDN w:val="0"/>
              <w:adjustRightInd w:val="0"/>
              <w:spacing w:line="480" w:lineRule="exact"/>
              <w:ind w:firstLine="1200" w:firstLineChars="500"/>
              <w:jc w:val="left"/>
              <w:rPr>
                <w:kern w:val="0"/>
                <w:sz w:val="24"/>
              </w:rPr>
            </w:pPr>
            <w:r>
              <w:rPr>
                <w:kern w:val="0"/>
                <w:sz w:val="24"/>
              </w:rPr>
              <w:t>q</w:t>
            </w:r>
            <w:r>
              <w:rPr>
                <w:rFonts w:hAnsi="宋体"/>
                <w:kern w:val="0"/>
                <w:sz w:val="24"/>
              </w:rPr>
              <w:t>：暴雨强度（</w:t>
            </w:r>
            <w:r>
              <w:rPr>
                <w:kern w:val="0"/>
                <w:sz w:val="24"/>
              </w:rPr>
              <w:t>L/S.hm</w:t>
            </w:r>
            <w:r>
              <w:rPr>
                <w:kern w:val="0"/>
                <w:sz w:val="24"/>
                <w:vertAlign w:val="superscript"/>
              </w:rPr>
              <w:t>2</w:t>
            </w:r>
            <w:r>
              <w:rPr>
                <w:rFonts w:hAnsi="宋体"/>
                <w:kern w:val="0"/>
                <w:sz w:val="24"/>
              </w:rPr>
              <w:t>）；</w:t>
            </w:r>
            <w:r>
              <w:rPr>
                <w:kern w:val="0"/>
                <w:sz w:val="24"/>
              </w:rPr>
              <w:t xml:space="preserve"> </w:t>
            </w:r>
          </w:p>
          <w:p>
            <w:pPr>
              <w:autoSpaceDE w:val="0"/>
              <w:autoSpaceDN w:val="0"/>
              <w:adjustRightInd w:val="0"/>
              <w:spacing w:line="520" w:lineRule="exact"/>
              <w:ind w:firstLine="1200" w:firstLineChars="500"/>
              <w:jc w:val="left"/>
              <w:rPr>
                <w:kern w:val="0"/>
                <w:sz w:val="24"/>
              </w:rPr>
            </w:pPr>
            <w:r>
              <w:rPr>
                <w:kern w:val="0"/>
                <w:sz w:val="24"/>
              </w:rPr>
              <w:t>F</w:t>
            </w:r>
            <w:r>
              <w:rPr>
                <w:rFonts w:hAnsi="宋体"/>
                <w:kern w:val="0"/>
                <w:sz w:val="24"/>
              </w:rPr>
              <w:t>：汇水面积；</w:t>
            </w:r>
            <w:r>
              <w:rPr>
                <w:kern w:val="0"/>
                <w:sz w:val="24"/>
              </w:rPr>
              <w:t xml:space="preserve"> </w:t>
            </w:r>
          </w:p>
          <w:p>
            <w:pPr>
              <w:autoSpaceDE w:val="0"/>
              <w:autoSpaceDN w:val="0"/>
              <w:adjustRightInd w:val="0"/>
              <w:spacing w:line="520" w:lineRule="exact"/>
              <w:ind w:firstLine="1200" w:firstLineChars="500"/>
              <w:jc w:val="left"/>
              <w:rPr>
                <w:kern w:val="0"/>
                <w:sz w:val="24"/>
              </w:rPr>
            </w:pPr>
            <w:r>
              <w:rPr>
                <w:kern w:val="0"/>
                <w:sz w:val="24"/>
              </w:rPr>
              <w:t>t</w:t>
            </w:r>
            <w:r>
              <w:rPr>
                <w:rFonts w:hAnsi="宋体"/>
                <w:kern w:val="0"/>
                <w:sz w:val="24"/>
              </w:rPr>
              <w:t>：降雨历时，取</w:t>
            </w:r>
            <w:r>
              <w:rPr>
                <w:rFonts w:hint="eastAsia"/>
                <w:kern w:val="0"/>
                <w:sz w:val="24"/>
                <w:lang w:val="en-US" w:eastAsia="zh-CN"/>
              </w:rPr>
              <w:t>3</w:t>
            </w:r>
            <w:r>
              <w:rPr>
                <w:kern w:val="0"/>
                <w:sz w:val="24"/>
              </w:rPr>
              <w:t>0min</w:t>
            </w:r>
            <w:r>
              <w:rPr>
                <w:rFonts w:hAnsi="宋体"/>
                <w:kern w:val="0"/>
                <w:sz w:val="24"/>
              </w:rPr>
              <w:t>；</w:t>
            </w:r>
            <w:r>
              <w:rPr>
                <w:kern w:val="0"/>
                <w:sz w:val="24"/>
              </w:rPr>
              <w:t xml:space="preserve"> </w:t>
            </w:r>
          </w:p>
          <w:p>
            <w:pPr>
              <w:autoSpaceDE w:val="0"/>
              <w:autoSpaceDN w:val="0"/>
              <w:adjustRightInd w:val="0"/>
              <w:spacing w:line="520" w:lineRule="exact"/>
              <w:ind w:firstLine="1200" w:firstLineChars="500"/>
              <w:jc w:val="left"/>
              <w:rPr>
                <w:kern w:val="0"/>
                <w:sz w:val="24"/>
              </w:rPr>
            </w:pPr>
            <w:r>
              <w:rPr>
                <w:kern w:val="0"/>
                <w:sz w:val="24"/>
              </w:rPr>
              <w:t>P</w:t>
            </w:r>
            <w:r>
              <w:rPr>
                <w:rFonts w:hAnsi="宋体"/>
                <w:kern w:val="0"/>
                <w:sz w:val="24"/>
              </w:rPr>
              <w:t>：暴雨重现期，取</w:t>
            </w:r>
            <w:r>
              <w:rPr>
                <w:rFonts w:hint="eastAsia"/>
                <w:kern w:val="0"/>
                <w:sz w:val="24"/>
                <w:lang w:val="en-US" w:eastAsia="zh-CN"/>
              </w:rPr>
              <w:t>1</w:t>
            </w:r>
            <w:r>
              <w:rPr>
                <w:rFonts w:hAnsi="宋体"/>
                <w:kern w:val="0"/>
                <w:sz w:val="24"/>
              </w:rPr>
              <w:t>年。</w:t>
            </w:r>
          </w:p>
          <w:p>
            <w:pPr>
              <w:tabs>
                <w:tab w:val="left" w:pos="1860"/>
              </w:tabs>
              <w:spacing w:line="520" w:lineRule="exact"/>
              <w:ind w:firstLine="480" w:firstLineChars="200"/>
              <w:rPr>
                <w:rFonts w:hint="eastAsia" w:eastAsia="宋体"/>
                <w:b/>
                <w:bCs/>
                <w:color w:val="auto"/>
                <w:sz w:val="24"/>
                <w:u w:val="single"/>
                <w:lang w:eastAsia="zh-CN"/>
              </w:rPr>
            </w:pPr>
            <w:r>
              <w:rPr>
                <w:sz w:val="24"/>
              </w:rPr>
              <w:t>根据平顶山市城市规划设计院的资料，利用湿度饱和法，结合当地和厂区实际情况，厂区四周设置截水沟用于收集雨水。厂区汇水面积为</w:t>
            </w:r>
            <w:r>
              <w:rPr>
                <w:rFonts w:hint="eastAsia"/>
                <w:sz w:val="24"/>
                <w:lang w:val="en-US" w:eastAsia="zh-CN"/>
              </w:rPr>
              <w:t>6</w:t>
            </w:r>
            <w:r>
              <w:rPr>
                <w:sz w:val="24"/>
              </w:rPr>
              <w:t>000m</w:t>
            </w:r>
            <w:r>
              <w:rPr>
                <w:sz w:val="24"/>
                <w:vertAlign w:val="superscript"/>
              </w:rPr>
              <w:t>2</w:t>
            </w:r>
            <w:r>
              <w:rPr>
                <w:sz w:val="24"/>
              </w:rPr>
              <w:t>，径流系数取0.9，则最大暴雨强度15分钟的初期雨水量为</w:t>
            </w:r>
            <w:r>
              <w:rPr>
                <w:rFonts w:hint="eastAsia"/>
                <w:sz w:val="24"/>
                <w:lang w:val="en-US" w:eastAsia="zh-CN"/>
              </w:rPr>
              <w:t>62</w:t>
            </w:r>
            <w:r>
              <w:rPr>
                <w:sz w:val="24"/>
              </w:rPr>
              <w:t>m</w:t>
            </w:r>
            <w:r>
              <w:rPr>
                <w:sz w:val="24"/>
                <w:vertAlign w:val="superscript"/>
              </w:rPr>
              <w:t>3</w:t>
            </w:r>
            <w:r>
              <w:rPr>
                <w:sz w:val="24"/>
              </w:rPr>
              <w:t>。</w:t>
            </w:r>
            <w:r>
              <w:rPr>
                <w:b/>
                <w:bCs/>
                <w:color w:val="auto"/>
                <w:sz w:val="24"/>
                <w:u w:val="single"/>
              </w:rPr>
              <w:t>根据经验常数，雨水量：雨水收集池容积=1:1.2，因此，本项目需设置雨水收集池大小约为</w:t>
            </w:r>
            <w:r>
              <w:rPr>
                <w:rFonts w:hint="eastAsia"/>
                <w:b/>
                <w:bCs/>
                <w:color w:val="auto"/>
                <w:sz w:val="24"/>
                <w:u w:val="single"/>
                <w:lang w:val="en-US" w:eastAsia="zh-CN"/>
              </w:rPr>
              <w:t>75</w:t>
            </w:r>
            <w:r>
              <w:rPr>
                <w:b/>
                <w:bCs/>
                <w:color w:val="auto"/>
                <w:sz w:val="24"/>
                <w:u w:val="single"/>
              </w:rPr>
              <w:t>m</w:t>
            </w:r>
            <w:r>
              <w:rPr>
                <w:b/>
                <w:bCs/>
                <w:color w:val="auto"/>
                <w:sz w:val="24"/>
                <w:u w:val="single"/>
                <w:vertAlign w:val="superscript"/>
              </w:rPr>
              <w:t>3</w:t>
            </w:r>
            <w:r>
              <w:rPr>
                <w:b/>
                <w:bCs/>
                <w:color w:val="auto"/>
                <w:sz w:val="24"/>
                <w:u w:val="single"/>
              </w:rPr>
              <w:t>，</w:t>
            </w:r>
            <w:r>
              <w:rPr>
                <w:rFonts w:hint="eastAsia"/>
                <w:b/>
                <w:bCs/>
                <w:color w:val="auto"/>
                <w:sz w:val="24"/>
                <w:u w:val="single"/>
                <w:lang w:eastAsia="zh-CN"/>
              </w:rPr>
              <w:t>项目租赁厂区原有</w:t>
            </w:r>
            <w:r>
              <w:rPr>
                <w:rFonts w:hint="eastAsia"/>
                <w:b/>
                <w:bCs/>
                <w:color w:val="auto"/>
                <w:sz w:val="24"/>
                <w:u w:val="single"/>
                <w:lang w:val="en-US" w:eastAsia="zh-CN"/>
              </w:rPr>
              <w:t>1座三级</w:t>
            </w:r>
            <w:r>
              <w:rPr>
                <w:rFonts w:hint="eastAsia"/>
                <w:b/>
                <w:bCs/>
                <w:color w:val="auto"/>
                <w:sz w:val="24"/>
                <w:u w:val="single"/>
                <w:lang w:eastAsia="zh-CN"/>
              </w:rPr>
              <w:t>初期雨水收集池（每级均为</w:t>
            </w:r>
            <w:r>
              <w:rPr>
                <w:rFonts w:hint="eastAsia"/>
                <w:b/>
                <w:bCs/>
                <w:color w:val="auto"/>
                <w:sz w:val="24"/>
                <w:u w:val="single"/>
                <w:lang w:val="en-US" w:eastAsia="zh-CN"/>
              </w:rPr>
              <w:t>64</w:t>
            </w:r>
            <w:r>
              <w:rPr>
                <w:b/>
                <w:bCs/>
                <w:color w:val="auto"/>
                <w:sz w:val="24"/>
                <w:u w:val="single"/>
              </w:rPr>
              <w:t>m</w:t>
            </w:r>
            <w:r>
              <w:rPr>
                <w:b/>
                <w:bCs/>
                <w:color w:val="auto"/>
                <w:sz w:val="24"/>
                <w:u w:val="single"/>
                <w:vertAlign w:val="superscript"/>
              </w:rPr>
              <w:t>3</w:t>
            </w:r>
            <w:r>
              <w:rPr>
                <w:rFonts w:hint="eastAsia"/>
                <w:b/>
                <w:bCs/>
                <w:color w:val="auto"/>
                <w:sz w:val="24"/>
                <w:u w:val="single"/>
                <w:vertAlign w:val="baseline"/>
                <w:lang w:eastAsia="zh-CN"/>
              </w:rPr>
              <w:t>，共</w:t>
            </w:r>
            <w:r>
              <w:rPr>
                <w:rFonts w:hint="eastAsia"/>
                <w:b/>
                <w:bCs/>
                <w:color w:val="auto"/>
                <w:sz w:val="24"/>
                <w:u w:val="single"/>
                <w:vertAlign w:val="baseline"/>
                <w:lang w:val="en-US" w:eastAsia="zh-CN"/>
              </w:rPr>
              <w:t>192</w:t>
            </w:r>
            <w:r>
              <w:rPr>
                <w:b/>
                <w:bCs/>
                <w:color w:val="auto"/>
                <w:sz w:val="24"/>
                <w:u w:val="single"/>
              </w:rPr>
              <w:t>m</w:t>
            </w:r>
            <w:r>
              <w:rPr>
                <w:b/>
                <w:bCs/>
                <w:color w:val="auto"/>
                <w:sz w:val="24"/>
                <w:u w:val="single"/>
                <w:vertAlign w:val="superscript"/>
              </w:rPr>
              <w:t>3</w:t>
            </w:r>
            <w:r>
              <w:rPr>
                <w:rFonts w:hint="eastAsia"/>
                <w:b/>
                <w:bCs/>
                <w:color w:val="auto"/>
                <w:sz w:val="24"/>
                <w:u w:val="single"/>
                <w:lang w:eastAsia="zh-CN"/>
              </w:rPr>
              <w:t>），项目所在厂区剩余的汇水面积约</w:t>
            </w:r>
            <w:r>
              <w:rPr>
                <w:rFonts w:hint="eastAsia"/>
                <w:b/>
                <w:bCs/>
                <w:color w:val="auto"/>
                <w:sz w:val="24"/>
                <w:u w:val="single"/>
                <w:lang w:val="en-US" w:eastAsia="zh-CN"/>
              </w:rPr>
              <w:t>10000</w:t>
            </w:r>
            <w:r>
              <w:rPr>
                <w:b/>
                <w:bCs/>
                <w:color w:val="auto"/>
                <w:sz w:val="24"/>
                <w:u w:val="single"/>
              </w:rPr>
              <w:t>m</w:t>
            </w:r>
            <w:r>
              <w:rPr>
                <w:b/>
                <w:bCs/>
                <w:color w:val="auto"/>
                <w:sz w:val="24"/>
                <w:u w:val="single"/>
                <w:vertAlign w:val="superscript"/>
              </w:rPr>
              <w:t>2</w:t>
            </w:r>
            <w:r>
              <w:rPr>
                <w:b/>
                <w:bCs/>
                <w:color w:val="auto"/>
                <w:sz w:val="24"/>
                <w:u w:val="single"/>
              </w:rPr>
              <w:t>，则最大暴雨强度15分钟的初期雨水量</w:t>
            </w:r>
            <w:r>
              <w:rPr>
                <w:rFonts w:hint="eastAsia"/>
                <w:b/>
                <w:bCs/>
                <w:color w:val="auto"/>
                <w:sz w:val="24"/>
                <w:u w:val="single"/>
                <w:lang w:eastAsia="zh-CN"/>
              </w:rPr>
              <w:t>约</w:t>
            </w:r>
            <w:r>
              <w:rPr>
                <w:b/>
                <w:bCs/>
                <w:color w:val="auto"/>
                <w:sz w:val="24"/>
                <w:u w:val="single"/>
              </w:rPr>
              <w:t>为</w:t>
            </w:r>
            <w:r>
              <w:rPr>
                <w:rFonts w:hint="eastAsia"/>
                <w:b/>
                <w:bCs/>
                <w:color w:val="auto"/>
                <w:sz w:val="24"/>
                <w:u w:val="single"/>
                <w:lang w:val="en-US" w:eastAsia="zh-CN"/>
              </w:rPr>
              <w:t>103</w:t>
            </w:r>
            <w:r>
              <w:rPr>
                <w:b/>
                <w:bCs/>
                <w:color w:val="auto"/>
                <w:sz w:val="24"/>
                <w:u w:val="single"/>
              </w:rPr>
              <w:t>m</w:t>
            </w:r>
            <w:r>
              <w:rPr>
                <w:b/>
                <w:bCs/>
                <w:color w:val="auto"/>
                <w:sz w:val="24"/>
                <w:u w:val="single"/>
                <w:vertAlign w:val="superscript"/>
              </w:rPr>
              <w:t>3</w:t>
            </w:r>
            <w:r>
              <w:rPr>
                <w:rFonts w:hint="eastAsia"/>
                <w:b/>
                <w:bCs/>
                <w:color w:val="auto"/>
                <w:sz w:val="24"/>
                <w:u w:val="single"/>
                <w:lang w:eastAsia="zh-CN"/>
              </w:rPr>
              <w:t>，同时厂区设置有雨水收集管网，故租赁厂区原有初期雨水收集池可满足项目使用。</w:t>
            </w:r>
            <w:r>
              <w:rPr>
                <w:b/>
                <w:bCs/>
                <w:color w:val="auto"/>
                <w:sz w:val="24"/>
                <w:u w:val="single"/>
              </w:rPr>
              <w:t>初期雨水经雨水收集池沉淀后，用于厂区洒水降尘，综合利用，不外排。</w:t>
            </w:r>
          </w:p>
          <w:p>
            <w:pPr>
              <w:spacing w:line="520" w:lineRule="exact"/>
              <w:ind w:firstLine="480" w:firstLineChars="200"/>
              <w:outlineLvl w:val="0"/>
              <w:rPr>
                <w:sz w:val="24"/>
              </w:rPr>
            </w:pPr>
            <w:r>
              <w:rPr>
                <w:sz w:val="24"/>
              </w:rPr>
              <w:t>（8）水平衡图</w:t>
            </w:r>
          </w:p>
          <w:p>
            <w:pPr>
              <w:spacing w:line="520" w:lineRule="exact"/>
              <w:ind w:firstLine="480" w:firstLineChars="200"/>
              <w:outlineLvl w:val="0"/>
              <w:rPr>
                <w:sz w:val="24"/>
              </w:rPr>
            </w:pPr>
            <w:r>
              <w:rPr>
                <w:sz w:val="24"/>
              </w:rPr>
              <w:t>本项目水平衡图见图</w:t>
            </w:r>
            <w:r>
              <w:rPr>
                <w:rFonts w:hint="eastAsia"/>
                <w:sz w:val="24"/>
              </w:rPr>
              <w:t>2</w:t>
            </w:r>
            <w:r>
              <w:rPr>
                <w:sz w:val="24"/>
              </w:rPr>
              <w:t>。</w:t>
            </w:r>
          </w:p>
          <w:p>
            <w:pPr>
              <w:pStyle w:val="21"/>
              <w:bidi w:val="0"/>
              <w:rPr>
                <w:rFonts w:hint="eastAsia" w:eastAsia="黑体"/>
                <w:bCs/>
                <w:sz w:val="24"/>
                <w:lang w:eastAsia="zh-CN"/>
              </w:rPr>
            </w:pPr>
            <w:r>
              <w:rPr>
                <w:rFonts w:hint="eastAsia" w:eastAsia="黑体"/>
                <w:bCs/>
                <w:sz w:val="24"/>
                <w:lang w:eastAsia="zh-CN"/>
              </w:rPr>
              <w:drawing>
                <wp:inline distT="0" distB="0" distL="114300" distR="114300">
                  <wp:extent cx="4943475" cy="4857750"/>
                  <wp:effectExtent l="0" t="0" r="9525" b="0"/>
                  <wp:docPr id="19" name="图片 19" descr="16138088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13808824(1)"/>
                          <pic:cNvPicPr>
                            <a:picLocks noChangeAspect="1"/>
                          </pic:cNvPicPr>
                        </pic:nvPicPr>
                        <pic:blipFill>
                          <a:blip r:embed="rId19"/>
                          <a:stretch>
                            <a:fillRect/>
                          </a:stretch>
                        </pic:blipFill>
                        <pic:spPr>
                          <a:xfrm>
                            <a:off x="0" y="0"/>
                            <a:ext cx="4943475" cy="4857750"/>
                          </a:xfrm>
                          <a:prstGeom prst="rect">
                            <a:avLst/>
                          </a:prstGeom>
                        </pic:spPr>
                      </pic:pic>
                    </a:graphicData>
                  </a:graphic>
                </wp:inline>
              </w:drawing>
            </w:r>
          </w:p>
          <w:p>
            <w:pPr>
              <w:pStyle w:val="18"/>
              <w:jc w:val="center"/>
              <w:rPr>
                <w:rFonts w:eastAsia="黑体"/>
                <w:b/>
                <w:bCs w:val="0"/>
                <w:color w:val="auto"/>
                <w:sz w:val="24"/>
                <w:u w:val="single"/>
              </w:rPr>
            </w:pPr>
            <w:r>
              <w:rPr>
                <w:rFonts w:eastAsia="黑体"/>
                <w:b/>
                <w:bCs w:val="0"/>
                <w:color w:val="auto"/>
                <w:sz w:val="24"/>
                <w:u w:val="single"/>
              </w:rPr>
              <w:t>图</w:t>
            </w:r>
            <w:r>
              <w:rPr>
                <w:rFonts w:hint="eastAsia" w:eastAsia="黑体"/>
                <w:b/>
                <w:bCs w:val="0"/>
                <w:color w:val="auto"/>
                <w:sz w:val="24"/>
                <w:u w:val="single"/>
              </w:rPr>
              <w:t>2</w:t>
            </w:r>
            <w:r>
              <w:rPr>
                <w:rFonts w:eastAsia="黑体"/>
                <w:b/>
                <w:bCs w:val="0"/>
                <w:color w:val="auto"/>
                <w:sz w:val="24"/>
                <w:u w:val="single"/>
              </w:rPr>
              <w:t xml:space="preserve">  本项目水平衡图    </w:t>
            </w:r>
            <w:r>
              <w:rPr>
                <w:rFonts w:eastAsia="黑体"/>
                <w:b/>
                <w:bCs w:val="0"/>
                <w:color w:val="auto"/>
                <w:sz w:val="24"/>
                <w:szCs w:val="24"/>
                <w:u w:val="single"/>
              </w:rPr>
              <w:t>单位：t/d</w:t>
            </w:r>
          </w:p>
          <w:p>
            <w:pPr>
              <w:spacing w:line="460" w:lineRule="exact"/>
              <w:ind w:firstLine="465"/>
              <w:rPr>
                <w:rFonts w:eastAsia="黑体"/>
                <w:sz w:val="24"/>
              </w:rPr>
            </w:pPr>
            <w:r>
              <w:rPr>
                <w:rFonts w:hint="eastAsia" w:eastAsia="黑体"/>
                <w:sz w:val="24"/>
              </w:rPr>
              <w:t>2.2.</w:t>
            </w:r>
            <w:r>
              <w:rPr>
                <w:rFonts w:eastAsia="黑体"/>
                <w:sz w:val="24"/>
              </w:rPr>
              <w:t>3噪声污染</w:t>
            </w:r>
          </w:p>
          <w:p>
            <w:pPr>
              <w:spacing w:line="520" w:lineRule="exact"/>
              <w:ind w:firstLine="465"/>
              <w:rPr>
                <w:kern w:val="0"/>
                <w:sz w:val="24"/>
              </w:rPr>
            </w:pPr>
            <w:r>
              <w:rPr>
                <w:kern w:val="0"/>
                <w:sz w:val="24"/>
              </w:rPr>
              <w:t>厂区内流动高噪声来源于原料运输车、装载机的行驶，噪声级在85dB(A)。评价建议企业强化行车管理制度，设置降噪标准，严禁鸣号，进入厂区低速行驶，最大限度减少流动噪声源；骨料装卸作业宜采用静音装载机；合理安排运输时间，对运输车辆统一管理，加强职工环保意识，提倡文明生产，防止人为噪声。</w:t>
            </w:r>
          </w:p>
          <w:p>
            <w:pPr>
              <w:pStyle w:val="58"/>
              <w:ind w:firstLine="480"/>
              <w:rPr>
                <w:rFonts w:ascii="Times New Roman" w:hAnsi="Times New Roman" w:cs="Times New Roman"/>
                <w:bCs/>
              </w:rPr>
            </w:pPr>
            <w:r>
              <w:rPr>
                <w:rFonts w:ascii="Times New Roman" w:hAnsi="Times New Roman" w:cs="Times New Roman"/>
                <w:kern w:val="0"/>
              </w:rPr>
              <w:t>该项目运营期噪声源主要为</w:t>
            </w:r>
            <w:r>
              <w:rPr>
                <w:rFonts w:ascii="Times New Roman" w:hAnsi="Times New Roman" w:cs="Times New Roman"/>
              </w:rPr>
              <w:t>固定高噪声源主要有搅拌机、配料机、成型机、码垛机等，噪声源强为70～90dB（A）。噪声源多为固定声源。高噪声设备均置于厂房内，采取厂房隔声，基础减振、设备定期润滑、检修，高耗能设备加装变频器等措施降噪。本</w:t>
            </w:r>
            <w:r>
              <w:rPr>
                <w:rFonts w:ascii="Times New Roman" w:hAnsi="Times New Roman" w:cs="Times New Roman"/>
                <w:bCs/>
              </w:rPr>
              <w:t>项目主要噪声源情况见表</w:t>
            </w:r>
            <w:r>
              <w:rPr>
                <w:rFonts w:hint="eastAsia" w:ascii="Times New Roman" w:hAnsi="Times New Roman" w:cs="Times New Roman"/>
                <w:bCs/>
                <w:lang w:val="en-US" w:eastAsia="zh-CN"/>
              </w:rPr>
              <w:t>23</w:t>
            </w:r>
            <w:r>
              <w:rPr>
                <w:rFonts w:ascii="Times New Roman" w:hAnsi="Times New Roman" w:cs="Times New Roman"/>
                <w:bCs/>
              </w:rPr>
              <w:t>。</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23</w:t>
            </w:r>
            <w:r>
              <w:rPr>
                <w:rFonts w:eastAsia="黑体"/>
                <w:kern w:val="0"/>
                <w:sz w:val="24"/>
                <w:lang w:val="zh-CN"/>
              </w:rPr>
              <w:t xml:space="preserve">           设备噪声源强一览表         单位：dB (A)</w:t>
            </w:r>
          </w:p>
          <w:tbl>
            <w:tblPr>
              <w:tblStyle w:val="3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515"/>
              <w:gridCol w:w="909"/>
              <w:gridCol w:w="1387"/>
              <w:gridCol w:w="249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noWrap/>
                  <w:vAlign w:val="center"/>
                </w:tcPr>
                <w:p>
                  <w:pPr>
                    <w:pStyle w:val="50"/>
                    <w:rPr>
                      <w:szCs w:val="21"/>
                    </w:rPr>
                  </w:pPr>
                  <w:r>
                    <w:rPr>
                      <w:szCs w:val="21"/>
                    </w:rPr>
                    <w:t>位置</w:t>
                  </w:r>
                </w:p>
              </w:tc>
              <w:tc>
                <w:tcPr>
                  <w:tcW w:w="1515" w:type="dxa"/>
                  <w:noWrap/>
                  <w:vAlign w:val="center"/>
                </w:tcPr>
                <w:p>
                  <w:pPr>
                    <w:pStyle w:val="50"/>
                    <w:rPr>
                      <w:szCs w:val="21"/>
                    </w:rPr>
                  </w:pPr>
                  <w:r>
                    <w:rPr>
                      <w:szCs w:val="21"/>
                    </w:rPr>
                    <w:t>设备</w:t>
                  </w:r>
                </w:p>
                <w:p>
                  <w:pPr>
                    <w:pStyle w:val="50"/>
                    <w:rPr>
                      <w:szCs w:val="21"/>
                    </w:rPr>
                  </w:pPr>
                  <w:r>
                    <w:rPr>
                      <w:szCs w:val="21"/>
                    </w:rPr>
                    <w:t>名称</w:t>
                  </w:r>
                </w:p>
              </w:tc>
              <w:tc>
                <w:tcPr>
                  <w:tcW w:w="909" w:type="dxa"/>
                  <w:noWrap/>
                  <w:vAlign w:val="center"/>
                </w:tcPr>
                <w:p>
                  <w:pPr>
                    <w:pStyle w:val="50"/>
                    <w:rPr>
                      <w:szCs w:val="21"/>
                    </w:rPr>
                  </w:pPr>
                  <w:r>
                    <w:rPr>
                      <w:szCs w:val="21"/>
                    </w:rPr>
                    <w:t>单台设备声级</w:t>
                  </w:r>
                </w:p>
              </w:tc>
              <w:tc>
                <w:tcPr>
                  <w:tcW w:w="1387" w:type="dxa"/>
                  <w:noWrap/>
                  <w:vAlign w:val="center"/>
                </w:tcPr>
                <w:p>
                  <w:pPr>
                    <w:pStyle w:val="50"/>
                    <w:rPr>
                      <w:szCs w:val="21"/>
                    </w:rPr>
                  </w:pPr>
                  <w:r>
                    <w:rPr>
                      <w:szCs w:val="21"/>
                    </w:rPr>
                    <w:t>运行情况</w:t>
                  </w:r>
                </w:p>
              </w:tc>
              <w:tc>
                <w:tcPr>
                  <w:tcW w:w="2497" w:type="dxa"/>
                  <w:noWrap/>
                  <w:vAlign w:val="center"/>
                </w:tcPr>
                <w:p>
                  <w:pPr>
                    <w:pStyle w:val="50"/>
                    <w:rPr>
                      <w:szCs w:val="21"/>
                    </w:rPr>
                  </w:pPr>
                  <w:r>
                    <w:rPr>
                      <w:szCs w:val="21"/>
                    </w:rPr>
                    <w:t>防治措施</w:t>
                  </w:r>
                </w:p>
              </w:tc>
              <w:tc>
                <w:tcPr>
                  <w:tcW w:w="1385" w:type="dxa"/>
                  <w:noWrap/>
                  <w:vAlign w:val="center"/>
                </w:tcPr>
                <w:p>
                  <w:pPr>
                    <w:pStyle w:val="50"/>
                    <w:rPr>
                      <w:szCs w:val="21"/>
                    </w:rPr>
                  </w:pPr>
                  <w:r>
                    <w:rPr>
                      <w:szCs w:val="21"/>
                    </w:rPr>
                    <w:t>采取措施后平均声级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restart"/>
                  <w:noWrap/>
                  <w:vAlign w:val="center"/>
                </w:tcPr>
                <w:p>
                  <w:pPr>
                    <w:pStyle w:val="50"/>
                    <w:rPr>
                      <w:szCs w:val="21"/>
                    </w:rPr>
                  </w:pPr>
                  <w:r>
                    <w:rPr>
                      <w:szCs w:val="21"/>
                    </w:rPr>
                    <w:t>生产车间</w:t>
                  </w:r>
                </w:p>
              </w:tc>
              <w:tc>
                <w:tcPr>
                  <w:tcW w:w="1515" w:type="dxa"/>
                  <w:noWrap/>
                  <w:vAlign w:val="center"/>
                </w:tcPr>
                <w:p>
                  <w:pPr>
                    <w:spacing w:line="360" w:lineRule="exact"/>
                    <w:jc w:val="center"/>
                    <w:rPr>
                      <w:szCs w:val="21"/>
                    </w:rPr>
                  </w:pPr>
                  <w:r>
                    <w:rPr>
                      <w:szCs w:val="21"/>
                    </w:rPr>
                    <w:t>电子配料机</w:t>
                  </w:r>
                </w:p>
              </w:tc>
              <w:tc>
                <w:tcPr>
                  <w:tcW w:w="909" w:type="dxa"/>
                  <w:noWrap/>
                  <w:vAlign w:val="center"/>
                </w:tcPr>
                <w:p>
                  <w:pPr>
                    <w:pStyle w:val="50"/>
                    <w:rPr>
                      <w:szCs w:val="21"/>
                    </w:rPr>
                  </w:pPr>
                  <w:r>
                    <w:rPr>
                      <w:szCs w:val="21"/>
                    </w:rPr>
                    <w:t>70-75</w:t>
                  </w:r>
                </w:p>
              </w:tc>
              <w:tc>
                <w:tcPr>
                  <w:tcW w:w="1387" w:type="dxa"/>
                  <w:noWrap/>
                  <w:vAlign w:val="center"/>
                </w:tcPr>
                <w:p>
                  <w:pPr>
                    <w:pStyle w:val="50"/>
                    <w:rPr>
                      <w:szCs w:val="21"/>
                    </w:rPr>
                  </w:pPr>
                  <w:r>
                    <w:rPr>
                      <w:szCs w:val="21"/>
                    </w:rPr>
                    <w:t>连续</w:t>
                  </w:r>
                </w:p>
              </w:tc>
              <w:tc>
                <w:tcPr>
                  <w:tcW w:w="2497" w:type="dxa"/>
                  <w:noWrap/>
                  <w:vAlign w:val="center"/>
                </w:tcPr>
                <w:p>
                  <w:pPr>
                    <w:pStyle w:val="50"/>
                    <w:rPr>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spacing w:line="360" w:lineRule="exact"/>
                    <w:jc w:val="center"/>
                    <w:rPr>
                      <w:szCs w:val="21"/>
                    </w:rPr>
                  </w:pPr>
                  <w:r>
                    <w:rPr>
                      <w:szCs w:val="21"/>
                    </w:rPr>
                    <w:t>物料输送机</w:t>
                  </w:r>
                </w:p>
              </w:tc>
              <w:tc>
                <w:tcPr>
                  <w:tcW w:w="909" w:type="dxa"/>
                  <w:noWrap/>
                  <w:vAlign w:val="center"/>
                </w:tcPr>
                <w:p>
                  <w:pPr>
                    <w:pStyle w:val="50"/>
                    <w:rPr>
                      <w:szCs w:val="21"/>
                    </w:rPr>
                  </w:pPr>
                  <w:r>
                    <w:rPr>
                      <w:szCs w:val="21"/>
                    </w:rPr>
                    <w:t>75-80</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szCs w:val="21"/>
                    </w:rPr>
                    <w:t>搅拌机</w:t>
                  </w:r>
                </w:p>
              </w:tc>
              <w:tc>
                <w:tcPr>
                  <w:tcW w:w="909" w:type="dxa"/>
                  <w:noWrap/>
                  <w:vAlign w:val="center"/>
                </w:tcPr>
                <w:p>
                  <w:pPr>
                    <w:pStyle w:val="50"/>
                    <w:rPr>
                      <w:szCs w:val="21"/>
                    </w:rPr>
                  </w:pPr>
                  <w:r>
                    <w:rPr>
                      <w:szCs w:val="21"/>
                    </w:rPr>
                    <w:t>80-85</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kern w:val="0"/>
                      <w:szCs w:val="21"/>
                      <w:lang w:val="zh-CN"/>
                    </w:rPr>
                    <w:t>成型机</w:t>
                  </w:r>
                </w:p>
              </w:tc>
              <w:tc>
                <w:tcPr>
                  <w:tcW w:w="909" w:type="dxa"/>
                  <w:noWrap/>
                  <w:vAlign w:val="center"/>
                </w:tcPr>
                <w:p>
                  <w:pPr>
                    <w:pStyle w:val="50"/>
                    <w:rPr>
                      <w:szCs w:val="21"/>
                    </w:rPr>
                  </w:pPr>
                  <w:r>
                    <w:rPr>
                      <w:szCs w:val="21"/>
                    </w:rPr>
                    <w:t>75-80</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szCs w:val="21"/>
                    </w:rPr>
                    <w:t>码垛机</w:t>
                  </w:r>
                </w:p>
              </w:tc>
              <w:tc>
                <w:tcPr>
                  <w:tcW w:w="909" w:type="dxa"/>
                  <w:noWrap/>
                  <w:vAlign w:val="center"/>
                </w:tcPr>
                <w:p>
                  <w:pPr>
                    <w:pStyle w:val="50"/>
                    <w:rPr>
                      <w:szCs w:val="21"/>
                    </w:rPr>
                  </w:pPr>
                  <w:r>
                    <w:rPr>
                      <w:szCs w:val="21"/>
                    </w:rPr>
                    <w:t>70-75</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szCs w:val="21"/>
                    </w:rPr>
                    <w:t>风机</w:t>
                  </w:r>
                </w:p>
              </w:tc>
              <w:tc>
                <w:tcPr>
                  <w:tcW w:w="909" w:type="dxa"/>
                  <w:noWrap/>
                  <w:vAlign w:val="center"/>
                </w:tcPr>
                <w:p>
                  <w:pPr>
                    <w:pStyle w:val="50"/>
                    <w:rPr>
                      <w:szCs w:val="21"/>
                    </w:rPr>
                  </w:pPr>
                  <w:r>
                    <w:rPr>
                      <w:szCs w:val="21"/>
                    </w:rPr>
                    <w:t>85-90</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zCs w:val="21"/>
                    </w:rPr>
                    <w:t>厂房隔声、消声器消声</w:t>
                  </w:r>
                </w:p>
              </w:tc>
              <w:tc>
                <w:tcPr>
                  <w:tcW w:w="1385" w:type="dxa"/>
                  <w:noWrap/>
                  <w:vAlign w:val="center"/>
                </w:tcPr>
                <w:p>
                  <w:pPr>
                    <w:pStyle w:val="50"/>
                    <w:rPr>
                      <w:szCs w:val="21"/>
                    </w:rPr>
                  </w:pPr>
                  <w:r>
                    <w:rPr>
                      <w:rFonts w:hint="eastAsia"/>
                      <w:szCs w:val="21"/>
                    </w:rPr>
                    <w:t>65</w:t>
                  </w:r>
                </w:p>
              </w:tc>
            </w:tr>
          </w:tbl>
          <w:p>
            <w:pPr>
              <w:spacing w:line="460" w:lineRule="exact"/>
              <w:ind w:firstLine="465"/>
              <w:rPr>
                <w:rFonts w:eastAsia="黑体"/>
                <w:sz w:val="24"/>
              </w:rPr>
            </w:pPr>
            <w:r>
              <w:rPr>
                <w:rFonts w:hint="eastAsia" w:eastAsia="黑体"/>
                <w:sz w:val="24"/>
              </w:rPr>
              <w:t>2.2.</w:t>
            </w:r>
            <w:r>
              <w:rPr>
                <w:rFonts w:eastAsia="黑体"/>
                <w:sz w:val="24"/>
              </w:rPr>
              <w:t>4固废污染</w:t>
            </w:r>
          </w:p>
          <w:p>
            <w:pPr>
              <w:spacing w:line="520" w:lineRule="exact"/>
              <w:ind w:firstLine="482"/>
              <w:rPr>
                <w:sz w:val="24"/>
              </w:rPr>
            </w:pPr>
            <w:r>
              <w:rPr>
                <w:sz w:val="24"/>
              </w:rPr>
              <w:t>本项目生产过程中产生的一般固废主要有</w:t>
            </w:r>
            <w:r>
              <w:rPr>
                <w:rFonts w:hint="eastAsia"/>
                <w:sz w:val="24"/>
                <w:lang w:eastAsia="zh-CN"/>
              </w:rPr>
              <w:t>除尘器收集颗粒物</w:t>
            </w:r>
            <w:r>
              <w:rPr>
                <w:sz w:val="24"/>
              </w:rPr>
              <w:t>、不合格湿坯、不合格干坯、沉淀池沉渣，此外职工生活还会产生生活垃圾。</w:t>
            </w:r>
          </w:p>
          <w:p>
            <w:pPr>
              <w:numPr>
                <w:ilvl w:val="0"/>
                <w:numId w:val="9"/>
              </w:numPr>
              <w:spacing w:line="520" w:lineRule="exact"/>
              <w:ind w:firstLine="482"/>
              <w:rPr>
                <w:rFonts w:hint="eastAsia"/>
                <w:sz w:val="24"/>
                <w:lang w:eastAsia="zh-CN"/>
              </w:rPr>
            </w:pPr>
            <w:r>
              <w:rPr>
                <w:rFonts w:hint="eastAsia"/>
                <w:sz w:val="24"/>
                <w:lang w:eastAsia="zh-CN"/>
              </w:rPr>
              <w:t>除尘器收集颗粒物</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sz w:val="24"/>
              </w:rPr>
            </w:pPr>
            <w:r>
              <w:rPr>
                <w:sz w:val="24"/>
              </w:rPr>
              <w:t>本项目水泥罐进料和</w:t>
            </w:r>
            <w:r>
              <w:rPr>
                <w:rFonts w:hint="eastAsia"/>
                <w:sz w:val="24"/>
                <w:lang w:eastAsia="zh-CN"/>
              </w:rPr>
              <w:t>投</w:t>
            </w:r>
            <w:r>
              <w:rPr>
                <w:sz w:val="24"/>
              </w:rPr>
              <w:t>料会产生</w:t>
            </w:r>
            <w:r>
              <w:rPr>
                <w:rFonts w:hint="eastAsia"/>
                <w:sz w:val="24"/>
                <w:lang w:eastAsia="zh-CN"/>
              </w:rPr>
              <w:t>颗粒物</w:t>
            </w:r>
            <w:r>
              <w:rPr>
                <w:sz w:val="24"/>
              </w:rPr>
              <w:t>，原料搅拌过程也会产生</w:t>
            </w:r>
            <w:r>
              <w:rPr>
                <w:rFonts w:hint="eastAsia"/>
                <w:sz w:val="24"/>
                <w:lang w:eastAsia="zh-CN"/>
              </w:rPr>
              <w:t>颗粒物</w:t>
            </w:r>
            <w:r>
              <w:rPr>
                <w:sz w:val="24"/>
              </w:rPr>
              <w:t>，均采用袋式除尘器进行处理，</w:t>
            </w:r>
            <w:r>
              <w:rPr>
                <w:rFonts w:hint="eastAsia"/>
                <w:sz w:val="24"/>
                <w:lang w:eastAsia="zh-CN"/>
              </w:rPr>
              <w:t>颗粒物</w:t>
            </w:r>
            <w:r>
              <w:rPr>
                <w:sz w:val="24"/>
              </w:rPr>
              <w:t>收集量为</w:t>
            </w:r>
            <w:r>
              <w:rPr>
                <w:rFonts w:hint="eastAsia"/>
                <w:sz w:val="24"/>
                <w:lang w:val="en-US" w:eastAsia="zh-CN"/>
              </w:rPr>
              <w:t>25.109</w:t>
            </w:r>
            <w:r>
              <w:rPr>
                <w:sz w:val="24"/>
              </w:rPr>
              <w:t>t/a，该部分固废收集后可作为生产原料回用于生产，综合利用，不外排。</w:t>
            </w:r>
          </w:p>
          <w:p>
            <w:pPr>
              <w:spacing w:line="520" w:lineRule="exact"/>
              <w:ind w:firstLine="482"/>
              <w:rPr>
                <w:sz w:val="24"/>
              </w:rPr>
            </w:pPr>
            <w:r>
              <w:rPr>
                <w:sz w:val="24"/>
              </w:rPr>
              <w:t>（2）不合格湿坯</w:t>
            </w:r>
          </w:p>
          <w:p>
            <w:pPr>
              <w:spacing w:line="520" w:lineRule="exact"/>
              <w:ind w:firstLine="482"/>
              <w:rPr>
                <w:sz w:val="24"/>
              </w:rPr>
            </w:pPr>
            <w:r>
              <w:rPr>
                <w:sz w:val="24"/>
              </w:rPr>
              <w:t>根据企业提供资料，并类比同类企业生产运行情况，本项目砖生产线运行过程中不合格产品产生率为5‰，则不合格产品产生量合计约为</w:t>
            </w:r>
            <w:r>
              <w:rPr>
                <w:rFonts w:hint="eastAsia"/>
                <w:sz w:val="24"/>
              </w:rPr>
              <w:t>251</w:t>
            </w:r>
            <w:r>
              <w:rPr>
                <w:sz w:val="24"/>
              </w:rPr>
              <w:t>t/a。不合格产品主要为湿砖坯，收集后可作为生产原料投入搅拌机，回用于生产，综合利用，不外排。</w:t>
            </w:r>
          </w:p>
          <w:p>
            <w:pPr>
              <w:spacing w:line="520" w:lineRule="exact"/>
              <w:ind w:firstLine="482"/>
              <w:rPr>
                <w:bCs/>
                <w:sz w:val="24"/>
              </w:rPr>
            </w:pPr>
            <w:r>
              <w:rPr>
                <w:bCs/>
                <w:sz w:val="24"/>
              </w:rPr>
              <w:t>（3）不合格干坯</w:t>
            </w:r>
          </w:p>
          <w:p>
            <w:pPr>
              <w:spacing w:line="520" w:lineRule="exact"/>
              <w:ind w:firstLine="482"/>
              <w:rPr>
                <w:bCs/>
                <w:sz w:val="24"/>
              </w:rPr>
            </w:pPr>
            <w:r>
              <w:rPr>
                <w:bCs/>
                <w:sz w:val="24"/>
              </w:rPr>
              <w:t>根据企业提供资料，并类比同类企业生产运行情况，本项目在晾晒养护过程中不合格产品产生率为2‰，则不合格产品产生量为1</w:t>
            </w:r>
            <w:r>
              <w:rPr>
                <w:rFonts w:hint="eastAsia"/>
                <w:bCs/>
                <w:sz w:val="24"/>
              </w:rPr>
              <w:t>0</w:t>
            </w:r>
            <w:r>
              <w:rPr>
                <w:bCs/>
                <w:sz w:val="24"/>
              </w:rPr>
              <w:t>0t/a。不合格产品收集后</w:t>
            </w:r>
            <w:r>
              <w:rPr>
                <w:rFonts w:hint="eastAsia"/>
                <w:bCs/>
                <w:sz w:val="24"/>
              </w:rPr>
              <w:t>外</w:t>
            </w:r>
            <w:r>
              <w:rPr>
                <w:bCs/>
                <w:sz w:val="24"/>
              </w:rPr>
              <w:t>售，综合利用，不外排。</w:t>
            </w:r>
          </w:p>
          <w:p>
            <w:pPr>
              <w:spacing w:line="520" w:lineRule="exact"/>
              <w:ind w:firstLine="482"/>
              <w:rPr>
                <w:sz w:val="24"/>
              </w:rPr>
            </w:pPr>
            <w:r>
              <w:rPr>
                <w:sz w:val="24"/>
              </w:rPr>
              <w:t>（4）沉淀池沉渣</w:t>
            </w:r>
          </w:p>
          <w:p>
            <w:pPr>
              <w:spacing w:line="520" w:lineRule="exact"/>
              <w:ind w:firstLine="482"/>
              <w:rPr>
                <w:sz w:val="24"/>
              </w:rPr>
            </w:pPr>
            <w:r>
              <w:rPr>
                <w:sz w:val="24"/>
              </w:rPr>
              <w:t>本项目厂区设置有车辆冲洗废水沉淀池，场地、设备冲洗废水沉淀池，雨水收集池，各沉淀池在正常运行过程中会产生沉渣，沉渣产生量为5.0t/a，收集后可作为生产原料回用于生产，综合利用，不外排。</w:t>
            </w:r>
          </w:p>
          <w:p>
            <w:pPr>
              <w:tabs>
                <w:tab w:val="left" w:pos="1860"/>
              </w:tabs>
              <w:spacing w:line="520" w:lineRule="exact"/>
              <w:ind w:firstLine="480" w:firstLineChars="200"/>
              <w:rPr>
                <w:sz w:val="24"/>
              </w:rPr>
            </w:pPr>
            <w:r>
              <w:rPr>
                <w:sz w:val="24"/>
              </w:rPr>
              <w:t>（</w:t>
            </w:r>
            <w:r>
              <w:rPr>
                <w:rFonts w:hint="eastAsia"/>
                <w:sz w:val="24"/>
                <w:lang w:val="en-US" w:eastAsia="zh-CN"/>
              </w:rPr>
              <w:t>5</w:t>
            </w:r>
            <w:r>
              <w:rPr>
                <w:sz w:val="24"/>
              </w:rPr>
              <w:t>）生活垃圾</w:t>
            </w:r>
          </w:p>
          <w:p>
            <w:pPr>
              <w:widowControl/>
              <w:spacing w:line="520" w:lineRule="exact"/>
              <w:ind w:firstLine="480" w:firstLineChars="200"/>
              <w:rPr>
                <w:sz w:val="24"/>
              </w:rPr>
            </w:pPr>
            <w:r>
              <w:rPr>
                <w:sz w:val="24"/>
              </w:rPr>
              <w:t>项目运营后职工定员</w:t>
            </w:r>
            <w:r>
              <w:rPr>
                <w:rFonts w:hint="eastAsia"/>
                <w:sz w:val="24"/>
              </w:rPr>
              <w:t>7</w:t>
            </w:r>
            <w:r>
              <w:rPr>
                <w:sz w:val="24"/>
              </w:rPr>
              <w:t>人，职工生活垃圾产生量按每人每天0.5kg计，则生活垃圾产生量</w:t>
            </w:r>
            <w:r>
              <w:rPr>
                <w:rFonts w:hint="eastAsia"/>
                <w:sz w:val="24"/>
              </w:rPr>
              <w:t>3.5</w:t>
            </w:r>
            <w:r>
              <w:rPr>
                <w:sz w:val="24"/>
              </w:rPr>
              <w:t>kg/d，</w:t>
            </w:r>
            <w:r>
              <w:rPr>
                <w:rFonts w:hint="eastAsia"/>
                <w:sz w:val="24"/>
              </w:rPr>
              <w:t>1.05</w:t>
            </w:r>
            <w:r>
              <w:rPr>
                <w:sz w:val="24"/>
              </w:rPr>
              <w:t>t/a。</w:t>
            </w:r>
          </w:p>
          <w:p>
            <w:pPr>
              <w:spacing w:line="520" w:lineRule="exact"/>
              <w:ind w:firstLine="482"/>
              <w:rPr>
                <w:sz w:val="24"/>
              </w:rPr>
            </w:pPr>
            <w:r>
              <w:rPr>
                <w:sz w:val="24"/>
              </w:rPr>
              <w:t>综上所述，本项目运营后全厂固体废弃物产生情况见表2</w:t>
            </w:r>
            <w:r>
              <w:rPr>
                <w:rFonts w:hint="eastAsia"/>
                <w:sz w:val="24"/>
                <w:lang w:val="en-US" w:eastAsia="zh-CN"/>
              </w:rPr>
              <w:t>4</w:t>
            </w:r>
            <w:r>
              <w:rPr>
                <w:sz w:val="24"/>
              </w:rPr>
              <w:t>。</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24</w:t>
            </w:r>
            <w:r>
              <w:rPr>
                <w:rFonts w:eastAsia="黑体"/>
                <w:kern w:val="0"/>
                <w:sz w:val="24"/>
              </w:rPr>
              <w:t xml:space="preserve">              本项目固体废物产生情况                单位：t/a</w:t>
            </w:r>
          </w:p>
          <w:tbl>
            <w:tblPr>
              <w:tblStyle w:val="32"/>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219"/>
              <w:gridCol w:w="1353"/>
              <w:gridCol w:w="1354"/>
              <w:gridCol w:w="1083"/>
              <w:gridCol w:w="2168"/>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序号</w:t>
                  </w:r>
                </w:p>
              </w:tc>
              <w:tc>
                <w:tcPr>
                  <w:tcW w:w="1219" w:type="dxa"/>
                  <w:noWrap/>
                  <w:vAlign w:val="center"/>
                </w:tcPr>
                <w:p>
                  <w:pPr>
                    <w:tabs>
                      <w:tab w:val="left" w:pos="567"/>
                    </w:tabs>
                    <w:snapToGrid w:val="0"/>
                    <w:jc w:val="center"/>
                    <w:rPr>
                      <w:szCs w:val="21"/>
                    </w:rPr>
                  </w:pPr>
                  <w:r>
                    <w:rPr>
                      <w:szCs w:val="21"/>
                    </w:rPr>
                    <w:t>固废来源</w:t>
                  </w:r>
                </w:p>
              </w:tc>
              <w:tc>
                <w:tcPr>
                  <w:tcW w:w="1353" w:type="dxa"/>
                  <w:noWrap/>
                  <w:vAlign w:val="center"/>
                </w:tcPr>
                <w:p>
                  <w:pPr>
                    <w:tabs>
                      <w:tab w:val="left" w:pos="567"/>
                    </w:tabs>
                    <w:snapToGrid w:val="0"/>
                    <w:jc w:val="center"/>
                    <w:rPr>
                      <w:szCs w:val="21"/>
                    </w:rPr>
                  </w:pPr>
                  <w:r>
                    <w:rPr>
                      <w:szCs w:val="21"/>
                    </w:rPr>
                    <w:t>固废类别</w:t>
                  </w:r>
                </w:p>
              </w:tc>
              <w:tc>
                <w:tcPr>
                  <w:tcW w:w="1354" w:type="dxa"/>
                  <w:noWrap/>
                  <w:vAlign w:val="center"/>
                </w:tcPr>
                <w:p>
                  <w:pPr>
                    <w:tabs>
                      <w:tab w:val="left" w:pos="567"/>
                    </w:tabs>
                    <w:snapToGrid w:val="0"/>
                    <w:jc w:val="center"/>
                    <w:rPr>
                      <w:szCs w:val="21"/>
                    </w:rPr>
                  </w:pPr>
                  <w:r>
                    <w:rPr>
                      <w:szCs w:val="21"/>
                    </w:rPr>
                    <w:t>固废性质</w:t>
                  </w:r>
                </w:p>
              </w:tc>
              <w:tc>
                <w:tcPr>
                  <w:tcW w:w="1083" w:type="dxa"/>
                  <w:noWrap/>
                  <w:vAlign w:val="center"/>
                </w:tcPr>
                <w:p>
                  <w:pPr>
                    <w:tabs>
                      <w:tab w:val="left" w:pos="567"/>
                    </w:tabs>
                    <w:snapToGrid w:val="0"/>
                    <w:jc w:val="center"/>
                    <w:rPr>
                      <w:szCs w:val="21"/>
                    </w:rPr>
                  </w:pPr>
                  <w:r>
                    <w:rPr>
                      <w:szCs w:val="21"/>
                    </w:rPr>
                    <w:t>产生量</w:t>
                  </w:r>
                </w:p>
              </w:tc>
              <w:tc>
                <w:tcPr>
                  <w:tcW w:w="2168" w:type="dxa"/>
                  <w:noWrap/>
                  <w:vAlign w:val="center"/>
                </w:tcPr>
                <w:p>
                  <w:pPr>
                    <w:tabs>
                      <w:tab w:val="left" w:pos="567"/>
                    </w:tabs>
                    <w:snapToGrid w:val="0"/>
                    <w:jc w:val="center"/>
                    <w:rPr>
                      <w:szCs w:val="21"/>
                    </w:rPr>
                  </w:pPr>
                  <w:r>
                    <w:rPr>
                      <w:szCs w:val="21"/>
                    </w:rPr>
                    <w:t>处置措施</w:t>
                  </w:r>
                </w:p>
              </w:tc>
              <w:tc>
                <w:tcPr>
                  <w:tcW w:w="924" w:type="dxa"/>
                  <w:noWrap/>
                  <w:vAlign w:val="center"/>
                </w:tcPr>
                <w:p>
                  <w:pPr>
                    <w:tabs>
                      <w:tab w:val="left" w:pos="567"/>
                    </w:tabs>
                    <w:snapToGrid w:val="0"/>
                    <w:jc w:val="center"/>
                    <w:rPr>
                      <w:szCs w:val="21"/>
                    </w:rPr>
                  </w:pPr>
                  <w:r>
                    <w:rPr>
                      <w:szCs w:val="21"/>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1</w:t>
                  </w:r>
                </w:p>
              </w:tc>
              <w:tc>
                <w:tcPr>
                  <w:tcW w:w="1219" w:type="dxa"/>
                  <w:noWrap/>
                  <w:vAlign w:val="center"/>
                </w:tcPr>
                <w:p>
                  <w:pPr>
                    <w:tabs>
                      <w:tab w:val="left" w:pos="567"/>
                    </w:tabs>
                    <w:snapToGrid w:val="0"/>
                    <w:jc w:val="center"/>
                    <w:rPr>
                      <w:szCs w:val="21"/>
                    </w:rPr>
                  </w:pPr>
                  <w:r>
                    <w:rPr>
                      <w:szCs w:val="21"/>
                    </w:rPr>
                    <w:t>除尘器</w:t>
                  </w:r>
                </w:p>
              </w:tc>
              <w:tc>
                <w:tcPr>
                  <w:tcW w:w="1353" w:type="dxa"/>
                  <w:noWrap/>
                  <w:vAlign w:val="center"/>
                </w:tcPr>
                <w:p>
                  <w:pPr>
                    <w:tabs>
                      <w:tab w:val="left" w:pos="567"/>
                    </w:tabs>
                    <w:snapToGrid w:val="0"/>
                    <w:jc w:val="center"/>
                    <w:rPr>
                      <w:szCs w:val="21"/>
                    </w:rPr>
                  </w:pPr>
                  <w:r>
                    <w:rPr>
                      <w:szCs w:val="21"/>
                    </w:rPr>
                    <w:t>除尘固废</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rFonts w:hint="default" w:eastAsia="宋体"/>
                      <w:szCs w:val="21"/>
                      <w:lang w:val="en-US" w:eastAsia="zh-CN"/>
                    </w:rPr>
                  </w:pPr>
                  <w:r>
                    <w:rPr>
                      <w:rFonts w:hint="eastAsia"/>
                      <w:color w:val="auto"/>
                      <w:szCs w:val="21"/>
                      <w:lang w:val="en-US" w:eastAsia="zh-CN"/>
                    </w:rPr>
                    <w:t>25.109</w:t>
                  </w:r>
                </w:p>
              </w:tc>
              <w:tc>
                <w:tcPr>
                  <w:tcW w:w="2168" w:type="dxa"/>
                  <w:noWrap/>
                  <w:vAlign w:val="center"/>
                </w:tcPr>
                <w:p>
                  <w:pPr>
                    <w:tabs>
                      <w:tab w:val="left" w:pos="567"/>
                    </w:tabs>
                    <w:snapToGrid w:val="0"/>
                    <w:jc w:val="center"/>
                    <w:rPr>
                      <w:szCs w:val="21"/>
                    </w:rPr>
                  </w:pPr>
                  <w:r>
                    <w:rPr>
                      <w:szCs w:val="21"/>
                    </w:rPr>
                    <w:t>作为生产原料回用于生产</w:t>
                  </w:r>
                </w:p>
              </w:tc>
              <w:tc>
                <w:tcPr>
                  <w:tcW w:w="924" w:type="dxa"/>
                  <w:vMerge w:val="restart"/>
                  <w:noWrap/>
                  <w:vAlign w:val="center"/>
                </w:tcPr>
                <w:p>
                  <w:pPr>
                    <w:tabs>
                      <w:tab w:val="left" w:pos="567"/>
                    </w:tabs>
                    <w:snapToGrid w:val="0"/>
                    <w:jc w:val="center"/>
                    <w:rPr>
                      <w:szCs w:val="21"/>
                    </w:rPr>
                  </w:pPr>
                  <w:r>
                    <w:rPr>
                      <w:szCs w:val="21"/>
                    </w:rPr>
                    <w:t>处置率100%，</w:t>
                  </w:r>
                </w:p>
                <w:p>
                  <w:pPr>
                    <w:tabs>
                      <w:tab w:val="left" w:pos="567"/>
                    </w:tabs>
                    <w:snapToGrid w:val="0"/>
                    <w:jc w:val="center"/>
                    <w:rPr>
                      <w:szCs w:val="21"/>
                    </w:rPr>
                  </w:pPr>
                  <w:r>
                    <w:rPr>
                      <w:szCs w:val="21"/>
                    </w:rPr>
                    <w:t>零排放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2</w:t>
                  </w:r>
                </w:p>
              </w:tc>
              <w:tc>
                <w:tcPr>
                  <w:tcW w:w="1219" w:type="dxa"/>
                  <w:noWrap/>
                  <w:vAlign w:val="center"/>
                </w:tcPr>
                <w:p>
                  <w:pPr>
                    <w:tabs>
                      <w:tab w:val="left" w:pos="567"/>
                    </w:tabs>
                    <w:snapToGrid w:val="0"/>
                    <w:jc w:val="center"/>
                    <w:rPr>
                      <w:szCs w:val="21"/>
                    </w:rPr>
                  </w:pPr>
                  <w:r>
                    <w:rPr>
                      <w:szCs w:val="21"/>
                    </w:rPr>
                    <w:t>制砖机</w:t>
                  </w:r>
                </w:p>
              </w:tc>
              <w:tc>
                <w:tcPr>
                  <w:tcW w:w="1353" w:type="dxa"/>
                  <w:noWrap/>
                  <w:vAlign w:val="center"/>
                </w:tcPr>
                <w:p>
                  <w:pPr>
                    <w:tabs>
                      <w:tab w:val="left" w:pos="567"/>
                    </w:tabs>
                    <w:snapToGrid w:val="0"/>
                    <w:jc w:val="center"/>
                    <w:rPr>
                      <w:szCs w:val="21"/>
                    </w:rPr>
                  </w:pPr>
                  <w:r>
                    <w:rPr>
                      <w:szCs w:val="21"/>
                    </w:rPr>
                    <w:t>不合格产品</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rFonts w:hint="eastAsia"/>
                      <w:szCs w:val="21"/>
                    </w:rPr>
                    <w:t>251</w:t>
                  </w:r>
                </w:p>
              </w:tc>
              <w:tc>
                <w:tcPr>
                  <w:tcW w:w="2168" w:type="dxa"/>
                  <w:noWrap/>
                  <w:vAlign w:val="center"/>
                </w:tcPr>
                <w:p>
                  <w:pPr>
                    <w:tabs>
                      <w:tab w:val="left" w:pos="567"/>
                    </w:tabs>
                    <w:snapToGrid w:val="0"/>
                    <w:jc w:val="center"/>
                    <w:rPr>
                      <w:szCs w:val="21"/>
                    </w:rPr>
                  </w:pPr>
                  <w:r>
                    <w:rPr>
                      <w:szCs w:val="21"/>
                    </w:rPr>
                    <w:t>作为生产原料回用于生产</w:t>
                  </w:r>
                </w:p>
              </w:tc>
              <w:tc>
                <w:tcPr>
                  <w:tcW w:w="924" w:type="dxa"/>
                  <w:vMerge w:val="continue"/>
                  <w:noWrap/>
                  <w:vAlign w:val="center"/>
                </w:tcPr>
                <w:p>
                  <w:pPr>
                    <w:tabs>
                      <w:tab w:val="left" w:pos="567"/>
                    </w:tabs>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3</w:t>
                  </w:r>
                </w:p>
              </w:tc>
              <w:tc>
                <w:tcPr>
                  <w:tcW w:w="1219" w:type="dxa"/>
                  <w:noWrap/>
                  <w:vAlign w:val="center"/>
                </w:tcPr>
                <w:p>
                  <w:pPr>
                    <w:tabs>
                      <w:tab w:val="left" w:pos="567"/>
                    </w:tabs>
                    <w:snapToGrid w:val="0"/>
                    <w:jc w:val="center"/>
                    <w:rPr>
                      <w:szCs w:val="21"/>
                    </w:rPr>
                  </w:pPr>
                  <w:r>
                    <w:rPr>
                      <w:szCs w:val="21"/>
                    </w:rPr>
                    <w:t>晾晒养护</w:t>
                  </w:r>
                </w:p>
              </w:tc>
              <w:tc>
                <w:tcPr>
                  <w:tcW w:w="1353" w:type="dxa"/>
                  <w:noWrap/>
                  <w:vAlign w:val="center"/>
                </w:tcPr>
                <w:p>
                  <w:pPr>
                    <w:tabs>
                      <w:tab w:val="left" w:pos="567"/>
                    </w:tabs>
                    <w:snapToGrid w:val="0"/>
                    <w:jc w:val="center"/>
                    <w:rPr>
                      <w:szCs w:val="21"/>
                    </w:rPr>
                  </w:pPr>
                  <w:r>
                    <w:rPr>
                      <w:szCs w:val="21"/>
                    </w:rPr>
                    <w:t>不合格干坯</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rFonts w:hint="eastAsia"/>
                      <w:szCs w:val="21"/>
                    </w:rPr>
                    <w:t>100</w:t>
                  </w:r>
                </w:p>
              </w:tc>
              <w:tc>
                <w:tcPr>
                  <w:tcW w:w="2168" w:type="dxa"/>
                  <w:noWrap/>
                  <w:vAlign w:val="center"/>
                </w:tcPr>
                <w:p>
                  <w:pPr>
                    <w:tabs>
                      <w:tab w:val="left" w:pos="567"/>
                    </w:tabs>
                    <w:snapToGrid w:val="0"/>
                    <w:jc w:val="center"/>
                    <w:rPr>
                      <w:szCs w:val="21"/>
                    </w:rPr>
                  </w:pPr>
                  <w:r>
                    <w:rPr>
                      <w:szCs w:val="21"/>
                    </w:rPr>
                    <w:t>可随产品一起出售</w:t>
                  </w:r>
                </w:p>
              </w:tc>
              <w:tc>
                <w:tcPr>
                  <w:tcW w:w="924" w:type="dxa"/>
                  <w:vMerge w:val="continue"/>
                  <w:noWrap/>
                  <w:vAlign w:val="center"/>
                </w:tcPr>
                <w:p>
                  <w:pPr>
                    <w:tabs>
                      <w:tab w:val="left" w:pos="567"/>
                    </w:tabs>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4</w:t>
                  </w:r>
                </w:p>
              </w:tc>
              <w:tc>
                <w:tcPr>
                  <w:tcW w:w="1219" w:type="dxa"/>
                  <w:noWrap/>
                  <w:vAlign w:val="center"/>
                </w:tcPr>
                <w:p>
                  <w:pPr>
                    <w:tabs>
                      <w:tab w:val="left" w:pos="567"/>
                    </w:tabs>
                    <w:snapToGrid w:val="0"/>
                    <w:jc w:val="center"/>
                    <w:rPr>
                      <w:szCs w:val="21"/>
                    </w:rPr>
                  </w:pPr>
                  <w:r>
                    <w:rPr>
                      <w:szCs w:val="21"/>
                    </w:rPr>
                    <w:t>沉淀池</w:t>
                  </w:r>
                </w:p>
              </w:tc>
              <w:tc>
                <w:tcPr>
                  <w:tcW w:w="1353" w:type="dxa"/>
                  <w:noWrap/>
                  <w:vAlign w:val="center"/>
                </w:tcPr>
                <w:p>
                  <w:pPr>
                    <w:tabs>
                      <w:tab w:val="left" w:pos="567"/>
                    </w:tabs>
                    <w:snapToGrid w:val="0"/>
                    <w:jc w:val="center"/>
                    <w:rPr>
                      <w:szCs w:val="21"/>
                    </w:rPr>
                  </w:pPr>
                  <w:r>
                    <w:rPr>
                      <w:szCs w:val="21"/>
                    </w:rPr>
                    <w:t>沉渣</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szCs w:val="21"/>
                    </w:rPr>
                    <w:t>5.0</w:t>
                  </w:r>
                </w:p>
              </w:tc>
              <w:tc>
                <w:tcPr>
                  <w:tcW w:w="2168" w:type="dxa"/>
                  <w:noWrap/>
                  <w:vAlign w:val="center"/>
                </w:tcPr>
                <w:p>
                  <w:pPr>
                    <w:tabs>
                      <w:tab w:val="left" w:pos="567"/>
                    </w:tabs>
                    <w:snapToGrid w:val="0"/>
                    <w:jc w:val="center"/>
                    <w:rPr>
                      <w:szCs w:val="21"/>
                    </w:rPr>
                  </w:pPr>
                  <w:r>
                    <w:rPr>
                      <w:szCs w:val="21"/>
                    </w:rPr>
                    <w:t>作为生产原料回用于生产</w:t>
                  </w:r>
                </w:p>
              </w:tc>
              <w:tc>
                <w:tcPr>
                  <w:tcW w:w="924" w:type="dxa"/>
                  <w:vMerge w:val="continue"/>
                  <w:noWrap/>
                  <w:vAlign w:val="center"/>
                </w:tcPr>
                <w:p>
                  <w:pPr>
                    <w:tabs>
                      <w:tab w:val="left" w:pos="567"/>
                    </w:tabs>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rFonts w:hint="eastAsia" w:eastAsia="宋体"/>
                      <w:szCs w:val="21"/>
                      <w:lang w:eastAsia="zh-CN"/>
                    </w:rPr>
                  </w:pPr>
                  <w:r>
                    <w:rPr>
                      <w:rFonts w:hint="eastAsia"/>
                      <w:szCs w:val="21"/>
                      <w:lang w:val="en-US" w:eastAsia="zh-CN"/>
                    </w:rPr>
                    <w:t>5</w:t>
                  </w:r>
                </w:p>
              </w:tc>
              <w:tc>
                <w:tcPr>
                  <w:tcW w:w="1219" w:type="dxa"/>
                  <w:noWrap/>
                  <w:vAlign w:val="center"/>
                </w:tcPr>
                <w:p>
                  <w:pPr>
                    <w:tabs>
                      <w:tab w:val="left" w:pos="567"/>
                    </w:tabs>
                    <w:snapToGrid w:val="0"/>
                    <w:jc w:val="center"/>
                    <w:rPr>
                      <w:szCs w:val="21"/>
                    </w:rPr>
                  </w:pPr>
                  <w:r>
                    <w:rPr>
                      <w:szCs w:val="21"/>
                    </w:rPr>
                    <w:t>职工生活</w:t>
                  </w:r>
                </w:p>
              </w:tc>
              <w:tc>
                <w:tcPr>
                  <w:tcW w:w="1353" w:type="dxa"/>
                  <w:noWrap/>
                  <w:vAlign w:val="center"/>
                </w:tcPr>
                <w:p>
                  <w:pPr>
                    <w:tabs>
                      <w:tab w:val="left" w:pos="567"/>
                    </w:tabs>
                    <w:snapToGrid w:val="0"/>
                    <w:jc w:val="center"/>
                    <w:rPr>
                      <w:szCs w:val="21"/>
                    </w:rPr>
                  </w:pPr>
                  <w:r>
                    <w:rPr>
                      <w:szCs w:val="21"/>
                    </w:rPr>
                    <w:t>生活垃圾</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szCs w:val="21"/>
                    </w:rPr>
                    <w:t>1.</w:t>
                  </w:r>
                  <w:r>
                    <w:rPr>
                      <w:rFonts w:hint="eastAsia"/>
                      <w:szCs w:val="21"/>
                    </w:rPr>
                    <w:t>05</w:t>
                  </w:r>
                </w:p>
              </w:tc>
              <w:tc>
                <w:tcPr>
                  <w:tcW w:w="2168" w:type="dxa"/>
                  <w:noWrap/>
                  <w:vAlign w:val="center"/>
                </w:tcPr>
                <w:p>
                  <w:pPr>
                    <w:tabs>
                      <w:tab w:val="left" w:pos="567"/>
                    </w:tabs>
                    <w:snapToGrid w:val="0"/>
                    <w:jc w:val="center"/>
                    <w:rPr>
                      <w:szCs w:val="21"/>
                    </w:rPr>
                  </w:pPr>
                  <w:r>
                    <w:rPr>
                      <w:szCs w:val="21"/>
                    </w:rPr>
                    <w:t>厂区收集后送当地垃圾中转</w:t>
                  </w:r>
                </w:p>
              </w:tc>
              <w:tc>
                <w:tcPr>
                  <w:tcW w:w="924" w:type="dxa"/>
                  <w:vMerge w:val="continue"/>
                  <w:noWrap/>
                  <w:vAlign w:val="center"/>
                </w:tcPr>
                <w:p>
                  <w:pPr>
                    <w:tabs>
                      <w:tab w:val="left" w:pos="567"/>
                    </w:tabs>
                    <w:snapToGrid w:val="0"/>
                    <w:jc w:val="center"/>
                    <w:rPr>
                      <w:szCs w:val="21"/>
                    </w:rPr>
                  </w:pPr>
                </w:p>
              </w:tc>
            </w:tr>
          </w:tbl>
          <w:p>
            <w:pPr>
              <w:spacing w:line="520" w:lineRule="exact"/>
              <w:ind w:firstLine="480"/>
              <w:rPr>
                <w:rFonts w:eastAsia="黑体"/>
                <w:sz w:val="24"/>
              </w:rPr>
            </w:pPr>
            <w:r>
              <w:rPr>
                <w:rFonts w:hint="eastAsia" w:eastAsia="黑体"/>
                <w:sz w:val="24"/>
              </w:rPr>
              <w:t>2.3</w:t>
            </w:r>
            <w:r>
              <w:rPr>
                <w:rFonts w:eastAsia="黑体"/>
                <w:sz w:val="24"/>
              </w:rPr>
              <w:t>物料平衡</w:t>
            </w:r>
          </w:p>
          <w:p>
            <w:pPr>
              <w:pStyle w:val="49"/>
              <w:snapToGrid w:val="0"/>
              <w:spacing w:line="520" w:lineRule="exact"/>
              <w:ind w:firstLine="482" w:firstLineChars="200"/>
              <w:rPr>
                <w:b/>
                <w:bCs/>
                <w:u w:val="single"/>
              </w:rPr>
            </w:pPr>
            <w:r>
              <w:rPr>
                <w:b/>
                <w:bCs/>
                <w:u w:val="single"/>
              </w:rPr>
              <w:t>本项目砖生产原料为水泥、沙子、石沫</w:t>
            </w:r>
            <w:r>
              <w:rPr>
                <w:rFonts w:hint="eastAsia"/>
                <w:b/>
                <w:bCs/>
                <w:u w:val="single"/>
              </w:rPr>
              <w:t>、</w:t>
            </w:r>
            <w:r>
              <w:rPr>
                <w:rFonts w:hint="eastAsia"/>
                <w:b/>
                <w:bCs/>
                <w:u w:val="single"/>
                <w:lang w:eastAsia="zh-CN"/>
              </w:rPr>
              <w:t>粉煤灰</w:t>
            </w:r>
            <w:r>
              <w:rPr>
                <w:b/>
                <w:bCs/>
                <w:u w:val="single"/>
              </w:rPr>
              <w:t>及透水剂、颜料，总用量为</w:t>
            </w:r>
            <w:r>
              <w:rPr>
                <w:rFonts w:hint="eastAsia"/>
                <w:b/>
                <w:bCs/>
                <w:u w:val="single"/>
              </w:rPr>
              <w:t>5025</w:t>
            </w:r>
            <w:r>
              <w:rPr>
                <w:b/>
                <w:bCs/>
                <w:u w:val="single"/>
              </w:rPr>
              <w:t>0t/a；产品</w:t>
            </w:r>
            <w:r>
              <w:rPr>
                <w:rFonts w:hint="eastAsia"/>
                <w:b/>
                <w:bCs/>
                <w:u w:val="single"/>
              </w:rPr>
              <w:t>主要是</w:t>
            </w:r>
            <w:r>
              <w:rPr>
                <w:b/>
                <w:bCs/>
                <w:u w:val="single"/>
              </w:rPr>
              <w:t>马路透水砖及市政工程用砖，年产量为</w:t>
            </w:r>
            <w:r>
              <w:rPr>
                <w:rFonts w:hint="eastAsia"/>
                <w:b/>
                <w:bCs/>
                <w:u w:val="single"/>
              </w:rPr>
              <w:t>20</w:t>
            </w:r>
            <w:r>
              <w:rPr>
                <w:b/>
                <w:bCs/>
                <w:u w:val="single"/>
              </w:rPr>
              <w:t>00万块，产品折合总重量（干重）约</w:t>
            </w:r>
            <w:r>
              <w:rPr>
                <w:rFonts w:hint="eastAsia"/>
                <w:b/>
                <w:bCs/>
                <w:u w:val="single"/>
              </w:rPr>
              <w:t>50149.</w:t>
            </w:r>
            <w:r>
              <w:rPr>
                <w:rFonts w:hint="eastAsia"/>
                <w:b/>
                <w:bCs/>
                <w:u w:val="single"/>
                <w:lang w:val="en-US" w:eastAsia="zh-CN"/>
              </w:rPr>
              <w:t>682</w:t>
            </w:r>
            <w:r>
              <w:rPr>
                <w:b/>
                <w:bCs/>
                <w:u w:val="single"/>
              </w:rPr>
              <w:t>t/a；不合格干坯产生量为</w:t>
            </w:r>
            <w:r>
              <w:rPr>
                <w:rFonts w:hint="eastAsia"/>
                <w:b/>
                <w:bCs/>
                <w:u w:val="single"/>
              </w:rPr>
              <w:t>100</w:t>
            </w:r>
            <w:r>
              <w:rPr>
                <w:b/>
                <w:bCs/>
                <w:u w:val="single"/>
              </w:rPr>
              <w:t>t/a；</w:t>
            </w:r>
            <w:r>
              <w:rPr>
                <w:rFonts w:hint="eastAsia"/>
                <w:b/>
                <w:bCs/>
                <w:u w:val="single"/>
                <w:lang w:eastAsia="zh-CN"/>
              </w:rPr>
              <w:t>颗粒物</w:t>
            </w:r>
            <w:r>
              <w:rPr>
                <w:b/>
                <w:bCs/>
                <w:u w:val="single"/>
              </w:rPr>
              <w:t>排放量为</w:t>
            </w:r>
            <w:r>
              <w:rPr>
                <w:rFonts w:hint="eastAsia"/>
                <w:b/>
                <w:bCs/>
                <w:u w:val="single"/>
                <w:lang w:val="en-US" w:eastAsia="zh-CN"/>
              </w:rPr>
              <w:t>0.318</w:t>
            </w:r>
            <w:r>
              <w:rPr>
                <w:b/>
                <w:bCs/>
                <w:u w:val="single"/>
              </w:rPr>
              <w:t>t/a。</w:t>
            </w:r>
          </w:p>
          <w:p>
            <w:pPr>
              <w:pStyle w:val="49"/>
              <w:snapToGrid w:val="0"/>
              <w:spacing w:line="520" w:lineRule="exact"/>
              <w:ind w:firstLine="482" w:firstLineChars="200"/>
              <w:rPr>
                <w:b/>
                <w:bCs/>
                <w:u w:val="single"/>
              </w:rPr>
            </w:pPr>
            <w:r>
              <w:rPr>
                <w:b/>
                <w:bCs/>
                <w:u w:val="single"/>
              </w:rPr>
              <w:t>本项目砖生产线物料平衡图见图</w:t>
            </w:r>
            <w:r>
              <w:rPr>
                <w:rFonts w:hint="eastAsia"/>
                <w:b/>
                <w:bCs/>
                <w:u w:val="single"/>
              </w:rPr>
              <w:t>3</w:t>
            </w:r>
            <w:r>
              <w:rPr>
                <w:b/>
                <w:bCs/>
                <w:u w:val="single"/>
              </w:rPr>
              <w:t>。</w:t>
            </w:r>
          </w:p>
          <w:p>
            <w:pPr>
              <w:pStyle w:val="49"/>
              <w:snapToGrid w:val="0"/>
              <w:spacing w:line="520" w:lineRule="exact"/>
              <w:ind w:firstLine="480" w:firstLineChars="200"/>
            </w:pPr>
          </w:p>
          <w:p>
            <w:pPr>
              <w:pStyle w:val="49"/>
              <w:snapToGrid w:val="0"/>
              <w:spacing w:line="520" w:lineRule="exact"/>
              <w:ind w:firstLine="482" w:firstLineChars="200"/>
              <w:jc w:val="center"/>
              <w:rPr>
                <w:b/>
                <w:bCs/>
                <w:szCs w:val="21"/>
                <w:u w:val="single"/>
              </w:rPr>
            </w:pPr>
            <w:r>
              <w:rPr>
                <w:b/>
                <w:bCs/>
                <w:color w:val="auto"/>
                <w:sz w:val="24"/>
                <w:u w:val="single"/>
              </w:rPr>
              <mc:AlternateContent>
                <mc:Choice Requires="wpc">
                  <w:drawing>
                    <wp:anchor distT="0" distB="0" distL="114300" distR="114300" simplePos="0" relativeHeight="252082176" behindDoc="0" locked="0" layoutInCell="1" allowOverlap="1">
                      <wp:simplePos x="0" y="0"/>
                      <wp:positionH relativeFrom="column">
                        <wp:posOffset>52070</wp:posOffset>
                      </wp:positionH>
                      <wp:positionV relativeFrom="paragraph">
                        <wp:posOffset>73025</wp:posOffset>
                      </wp:positionV>
                      <wp:extent cx="5634355" cy="3467735"/>
                      <wp:effectExtent l="0" t="0" r="0" b="0"/>
                      <wp:wrapTopAndBottom/>
                      <wp:docPr id="40" name="画布 5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 name="自选图形 576"/>
                              <wps:cNvCnPr/>
                              <wps:spPr>
                                <a:xfrm>
                                  <a:off x="1021080" y="403950"/>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57" name="文本框 577"/>
                              <wps:cNvSpPr txBox="1"/>
                              <wps:spPr>
                                <a:xfrm>
                                  <a:off x="1154430" y="194353"/>
                                  <a:ext cx="460375" cy="209597"/>
                                </a:xfrm>
                                <a:prstGeom prst="rect">
                                  <a:avLst/>
                                </a:prstGeom>
                                <a:noFill/>
                                <a:ln>
                                  <a:noFill/>
                                </a:ln>
                                <a:effectLst/>
                              </wps:spPr>
                              <wps:txbx>
                                <w:txbxContent>
                                  <w:p>
                                    <w:pPr>
                                      <w:rPr>
                                        <w:rFonts w:hint="default" w:ascii="Times New Roman" w:hAnsi="Times New Roman" w:eastAsia="宋体" w:cs="Times New Roman"/>
                                        <w:lang w:eastAsia="zh-CN"/>
                                      </w:rPr>
                                    </w:pPr>
                                    <w:r>
                                      <w:rPr>
                                        <w:rFonts w:hint="default" w:ascii="Times New Roman" w:hAnsi="Times New Roman" w:cs="Times New Roman"/>
                                        <w:lang w:eastAsia="zh-CN"/>
                                      </w:rPr>
                                      <w:t>7500</w:t>
                                    </w:r>
                                  </w:p>
                                </w:txbxContent>
                              </wps:txbx>
                              <wps:bodyPr wrap="square" lIns="18000" tIns="10800" rIns="18000" bIns="10800" upright="1"/>
                            </wps:wsp>
                            <wps:wsp>
                              <wps:cNvPr id="58" name="文本框 578"/>
                              <wps:cNvSpPr txBox="1"/>
                              <wps:spPr>
                                <a:xfrm>
                                  <a:off x="4731385" y="521451"/>
                                  <a:ext cx="714375" cy="210232"/>
                                </a:xfrm>
                                <a:prstGeom prst="rect">
                                  <a:avLst/>
                                </a:prstGeom>
                                <a:noFill/>
                                <a:ln>
                                  <a:noFill/>
                                </a:ln>
                                <a:effectLst/>
                              </wps:spPr>
                              <wps:txbx>
                                <w:txbxContent>
                                  <w:p>
                                    <w:pPr>
                                      <w:ind w:firstLine="105" w:firstLineChars="50"/>
                                    </w:pPr>
                                    <w:r>
                                      <w:rPr>
                                        <w:rFonts w:hint="eastAsia"/>
                                      </w:rPr>
                                      <w:t>产品外售</w:t>
                                    </w:r>
                                  </w:p>
                                </w:txbxContent>
                              </wps:txbx>
                              <wps:bodyPr wrap="square" lIns="18000" tIns="10800" rIns="18000" bIns="10800" upright="1"/>
                            </wps:wsp>
                            <wps:wsp>
                              <wps:cNvPr id="59" name="文本框 579"/>
                              <wps:cNvSpPr txBox="1"/>
                              <wps:spPr>
                                <a:xfrm>
                                  <a:off x="2589530" y="403950"/>
                                  <a:ext cx="938530" cy="208327"/>
                                </a:xfrm>
                                <a:prstGeom prst="rect">
                                  <a:avLst/>
                                </a:prstGeom>
                                <a:noFill/>
                                <a:ln>
                                  <a:noFill/>
                                </a:ln>
                                <a:effectLst/>
                              </wps:spPr>
                              <wps:txbx>
                                <w:txbxContent>
                                  <w:p>
                                    <w:pPr>
                                      <w:ind w:firstLine="105" w:firstLineChars="50"/>
                                      <w:jc w:val="center"/>
                                      <w:rPr>
                                        <w:rFonts w:hint="default" w:eastAsia="黑体"/>
                                        <w:bCs/>
                                        <w:lang w:val="en-US" w:eastAsia="zh-CN"/>
                                      </w:rPr>
                                    </w:pPr>
                                    <w:r>
                                      <w:rPr>
                                        <w:rFonts w:hint="eastAsia" w:eastAsia="黑体"/>
                                        <w:bCs/>
                                        <w:lang w:val="en-US" w:eastAsia="zh-CN"/>
                                      </w:rPr>
                                      <w:t>50149.682</w:t>
                                    </w:r>
                                  </w:p>
                                </w:txbxContent>
                              </wps:txbx>
                              <wps:bodyPr wrap="square" lIns="18000" tIns="10800" rIns="18000" bIns="10800" upright="1"/>
                            </wps:wsp>
                            <wps:wsp>
                              <wps:cNvPr id="60" name="自选图形 580"/>
                              <wps:cNvCnPr/>
                              <wps:spPr>
                                <a:xfrm>
                                  <a:off x="2684780" y="624344"/>
                                  <a:ext cx="635" cy="1259486"/>
                                </a:xfrm>
                                <a:prstGeom prst="straightConnector1">
                                  <a:avLst/>
                                </a:prstGeom>
                                <a:ln w="9525" cap="flat" cmpd="sng">
                                  <a:solidFill>
                                    <a:srgbClr val="000000"/>
                                  </a:solidFill>
                                  <a:prstDash val="solid"/>
                                  <a:headEnd type="none" w="med" len="med"/>
                                  <a:tailEnd type="none" w="med" len="med"/>
                                </a:ln>
                                <a:effectLst/>
                              </wps:spPr>
                              <wps:bodyPr wrap="square" upright="1"/>
                            </wps:wsp>
                            <wps:wsp>
                              <wps:cNvPr id="61" name="自选图形 581"/>
                              <wps:cNvCnPr/>
                              <wps:spPr>
                                <a:xfrm>
                                  <a:off x="2684780" y="624980"/>
                                  <a:ext cx="835025"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62" name="文本框 582"/>
                              <wps:cNvSpPr txBox="1"/>
                              <wps:spPr>
                                <a:xfrm>
                                  <a:off x="3519805" y="479532"/>
                                  <a:ext cx="913765"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rPr>
                                      <w:t>成品</w:t>
                                    </w:r>
                                    <w:r>
                                      <w:rPr>
                                        <w:rFonts w:hint="eastAsia"/>
                                        <w:lang w:eastAsia="zh-CN"/>
                                      </w:rPr>
                                      <w:t>砖</w:t>
                                    </w:r>
                                  </w:p>
                                </w:txbxContent>
                              </wps:txbx>
                              <wps:bodyPr wrap="square" lIns="18000" tIns="46800" rIns="18000" bIns="10800" upright="1"/>
                            </wps:wsp>
                            <wps:wsp>
                              <wps:cNvPr id="63" name="文本框 583"/>
                              <wps:cNvSpPr txBox="1"/>
                              <wps:spPr>
                                <a:xfrm>
                                  <a:off x="321310" y="236273"/>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水泥</w:t>
                                    </w:r>
                                  </w:p>
                                </w:txbxContent>
                              </wps:txbx>
                              <wps:bodyPr wrap="square" lIns="18000" tIns="46800" rIns="18000" bIns="10800" upright="1"/>
                            </wps:wsp>
                            <wps:wsp>
                              <wps:cNvPr id="64" name="文本框 584"/>
                              <wps:cNvSpPr txBox="1"/>
                              <wps:spPr>
                                <a:xfrm>
                                  <a:off x="4746625" y="1746640"/>
                                  <a:ext cx="868680" cy="210232"/>
                                </a:xfrm>
                                <a:prstGeom prst="rect">
                                  <a:avLst/>
                                </a:prstGeom>
                                <a:noFill/>
                                <a:ln>
                                  <a:noFill/>
                                </a:ln>
                                <a:effectLst/>
                              </wps:spPr>
                              <wps:txbx>
                                <w:txbxContent>
                                  <w:p>
                                    <w:pPr>
                                      <w:ind w:firstLine="105" w:firstLineChars="50"/>
                                      <w:rPr>
                                        <w:rFonts w:hint="eastAsia" w:ascii="宋体" w:hAnsi="宋体" w:cs="宋体"/>
                                        <w:bCs/>
                                      </w:rPr>
                                    </w:pPr>
                                    <w:r>
                                      <w:rPr>
                                        <w:rFonts w:hint="eastAsia" w:ascii="宋体" w:hAnsi="宋体" w:cs="宋体"/>
                                        <w:bCs/>
                                      </w:rPr>
                                      <w:t>达标排放</w:t>
                                    </w:r>
                                  </w:p>
                                </w:txbxContent>
                              </wps:txbx>
                              <wps:bodyPr wrap="square" lIns="18000" tIns="10800" rIns="18000" bIns="10800" upright="1"/>
                            </wps:wsp>
                            <wps:wsp>
                              <wps:cNvPr id="65" name="文本框 585"/>
                              <wps:cNvSpPr txBox="1"/>
                              <wps:spPr>
                                <a:xfrm>
                                  <a:off x="2636520" y="1677410"/>
                                  <a:ext cx="715645" cy="208327"/>
                                </a:xfrm>
                                <a:prstGeom prst="rect">
                                  <a:avLst/>
                                </a:prstGeom>
                                <a:noFill/>
                                <a:ln>
                                  <a:noFill/>
                                </a:ln>
                                <a:effectLst/>
                              </wps:spPr>
                              <wps:txbx>
                                <w:txbxContent>
                                  <w:p>
                                    <w:pPr>
                                      <w:ind w:firstLine="210" w:firstLineChars="100"/>
                                      <w:jc w:val="center"/>
                                      <w:rPr>
                                        <w:rFonts w:hint="default" w:ascii="Times New Roman" w:hAnsi="Times New Roman" w:eastAsia="宋体" w:cs="Times New Roman"/>
                                        <w:bCs/>
                                        <w:lang w:val="en-US" w:eastAsia="zh-CN"/>
                                      </w:rPr>
                                    </w:pPr>
                                    <w:r>
                                      <w:rPr>
                                        <w:rFonts w:hint="eastAsia" w:cs="Times New Roman"/>
                                        <w:bCs/>
                                        <w:lang w:val="en-US" w:eastAsia="zh-CN"/>
                                      </w:rPr>
                                      <w:t>0.318</w:t>
                                    </w:r>
                                  </w:p>
                                </w:txbxContent>
                              </wps:txbx>
                              <wps:bodyPr wrap="square" lIns="18000" tIns="10800" rIns="18000" bIns="10800" upright="1"/>
                            </wps:wsp>
                            <wps:wsp>
                              <wps:cNvPr id="66" name="自选图形 586"/>
                              <wps:cNvCnPr/>
                              <wps:spPr>
                                <a:xfrm>
                                  <a:off x="2693035" y="1883831"/>
                                  <a:ext cx="835025"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67" name="文本框 587"/>
                              <wps:cNvSpPr txBox="1"/>
                              <wps:spPr>
                                <a:xfrm>
                                  <a:off x="3528060" y="1738383"/>
                                  <a:ext cx="913765"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ascii="宋体" w:hAnsi="宋体" w:eastAsia="宋体" w:cs="宋体"/>
                                        <w:bCs/>
                                        <w:lang w:eastAsia="zh-CN"/>
                                      </w:rPr>
                                    </w:pPr>
                                    <w:r>
                                      <w:rPr>
                                        <w:rFonts w:hint="eastAsia" w:ascii="宋体" w:hAnsi="宋体" w:cs="宋体"/>
                                        <w:bCs/>
                                        <w:lang w:eastAsia="zh-CN"/>
                                      </w:rPr>
                                      <w:t>颗粒物</w:t>
                                    </w:r>
                                  </w:p>
                                </w:txbxContent>
                              </wps:txbx>
                              <wps:bodyPr wrap="square" lIns="18000" tIns="46800" rIns="18000" bIns="10800" upright="1"/>
                            </wps:wsp>
                            <wps:wsp>
                              <wps:cNvPr id="68" name="自选图形 588"/>
                              <wps:cNvCnPr/>
                              <wps:spPr>
                                <a:xfrm>
                                  <a:off x="4441825" y="1884466"/>
                                  <a:ext cx="297180" cy="127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69" name="自选图形 589"/>
                              <wps:cNvCnPr/>
                              <wps:spPr>
                                <a:xfrm>
                                  <a:off x="4434205" y="625615"/>
                                  <a:ext cx="297180" cy="127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0" name="文本框 590"/>
                              <wps:cNvSpPr txBox="1"/>
                              <wps:spPr>
                                <a:xfrm>
                                  <a:off x="321310" y="834576"/>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透水剂</w:t>
                                    </w:r>
                                  </w:p>
                                </w:txbxContent>
                              </wps:txbx>
                              <wps:bodyPr wrap="square" lIns="18000" tIns="46800" rIns="18000" bIns="10800" upright="1"/>
                            </wps:wsp>
                            <wps:wsp>
                              <wps:cNvPr id="71" name="文本框 591"/>
                              <wps:cNvSpPr txBox="1"/>
                              <wps:spPr>
                                <a:xfrm>
                                  <a:off x="321310" y="1396677"/>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沙子</w:t>
                                    </w:r>
                                  </w:p>
                                </w:txbxContent>
                              </wps:txbx>
                              <wps:bodyPr wrap="square" lIns="18000" tIns="46800" rIns="18000" bIns="10800" upright="1"/>
                            </wps:wsp>
                            <wps:wsp>
                              <wps:cNvPr id="72" name="文本框 592"/>
                              <wps:cNvSpPr txBox="1"/>
                              <wps:spPr>
                                <a:xfrm>
                                  <a:off x="321310" y="1937183"/>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石沫</w:t>
                                    </w:r>
                                  </w:p>
                                </w:txbxContent>
                              </wps:txbx>
                              <wps:bodyPr wrap="square" lIns="18000" tIns="46800" rIns="18000" bIns="10800" upright="1"/>
                            </wps:wsp>
                            <wps:wsp>
                              <wps:cNvPr id="73" name="自选图形 593"/>
                              <wps:cNvCnPr/>
                              <wps:spPr>
                                <a:xfrm>
                                  <a:off x="1021080" y="1002254"/>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4" name="文本框 594"/>
                              <wps:cNvSpPr txBox="1"/>
                              <wps:spPr>
                                <a:xfrm>
                                  <a:off x="1154430" y="792657"/>
                                  <a:ext cx="460375" cy="209597"/>
                                </a:xfrm>
                                <a:prstGeom prst="rect">
                                  <a:avLst/>
                                </a:prstGeom>
                                <a:noFill/>
                                <a:ln>
                                  <a:noFill/>
                                </a:ln>
                                <a:effectLst/>
                              </wps:spPr>
                              <wps:txbx>
                                <w:txbxContent>
                                  <w:p>
                                    <w:pPr>
                                      <w:rPr>
                                        <w:rFonts w:hint="default" w:ascii="Times New Roman" w:hAnsi="Times New Roman" w:eastAsia="宋体" w:cs="Times New Roman"/>
                                        <w:lang w:val="en-US" w:eastAsia="zh-CN"/>
                                      </w:rPr>
                                    </w:pPr>
                                    <w:r>
                                      <w:rPr>
                                        <w:rFonts w:hint="default" w:ascii="Times New Roman" w:hAnsi="Times New Roman" w:cs="Times New Roman"/>
                                        <w:lang w:val="en-US" w:eastAsia="zh-CN"/>
                                      </w:rPr>
                                      <w:t>125</w:t>
                                    </w:r>
                                  </w:p>
                                </w:txbxContent>
                              </wps:txbx>
                              <wps:bodyPr wrap="square" lIns="18000" tIns="10800" rIns="18000" bIns="10800" upright="1"/>
                            </wps:wsp>
                            <wps:wsp>
                              <wps:cNvPr id="75" name="自选图形 595"/>
                              <wps:cNvCnPr/>
                              <wps:spPr>
                                <a:xfrm>
                                  <a:off x="1021080" y="1564354"/>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6" name="文本框 596"/>
                              <wps:cNvSpPr txBox="1"/>
                              <wps:spPr>
                                <a:xfrm>
                                  <a:off x="1154430" y="1354757"/>
                                  <a:ext cx="460375" cy="209597"/>
                                </a:xfrm>
                                <a:prstGeom prst="rect">
                                  <a:avLst/>
                                </a:prstGeom>
                                <a:noFill/>
                                <a:ln>
                                  <a:noFill/>
                                </a:ln>
                                <a:effectLst/>
                              </wps:spPr>
                              <wps:txbx>
                                <w:txbxContent>
                                  <w:p>
                                    <w:pPr>
                                      <w:rPr>
                                        <w:rFonts w:hint="default" w:ascii="Times New Roman" w:hAnsi="Times New Roman" w:cs="Times New Roman"/>
                                      </w:rPr>
                                    </w:pPr>
                                    <w:r>
                                      <w:rPr>
                                        <w:rFonts w:hint="default" w:ascii="Times New Roman" w:hAnsi="Times New Roman" w:cs="Times New Roman"/>
                                        <w:lang w:val="en-US" w:eastAsia="zh-CN"/>
                                      </w:rPr>
                                      <w:t>20</w:t>
                                    </w:r>
                                    <w:r>
                                      <w:rPr>
                                        <w:rFonts w:hint="default" w:ascii="Times New Roman" w:hAnsi="Times New Roman" w:cs="Times New Roman"/>
                                      </w:rPr>
                                      <w:t>000</w:t>
                                    </w:r>
                                  </w:p>
                                </w:txbxContent>
                              </wps:txbx>
                              <wps:bodyPr wrap="square" lIns="18000" tIns="10800" rIns="18000" bIns="10800" upright="1"/>
                            </wps:wsp>
                            <wps:wsp>
                              <wps:cNvPr id="77" name="自选图形 597"/>
                              <wps:cNvCnPr/>
                              <wps:spPr>
                                <a:xfrm>
                                  <a:off x="1021080" y="2093427"/>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8" name="文本框 598"/>
                              <wps:cNvSpPr txBox="1"/>
                              <wps:spPr>
                                <a:xfrm>
                                  <a:off x="1154430" y="1883831"/>
                                  <a:ext cx="460375" cy="209597"/>
                                </a:xfrm>
                                <a:prstGeom prst="rect">
                                  <a:avLst/>
                                </a:prstGeom>
                                <a:noFill/>
                                <a:ln>
                                  <a:noFill/>
                                </a:ln>
                                <a:effectLst/>
                              </wps:spPr>
                              <wps:txbx>
                                <w:txbxContent>
                                  <w:p>
                                    <w:pPr>
                                      <w:rPr>
                                        <w:rFonts w:hint="default" w:ascii="Times New Roman" w:hAnsi="Times New Roman" w:eastAsia="宋体" w:cs="Times New Roman"/>
                                        <w:lang w:eastAsia="zh-CN"/>
                                      </w:rPr>
                                    </w:pPr>
                                    <w:r>
                                      <w:rPr>
                                        <w:rFonts w:hint="default" w:ascii="Times New Roman" w:hAnsi="Times New Roman" w:cs="Times New Roman"/>
                                        <w:lang w:val="en-US" w:eastAsia="zh-CN"/>
                                      </w:rPr>
                                      <w:t>16</w:t>
                                    </w:r>
                                    <w:r>
                                      <w:rPr>
                                        <w:rFonts w:hint="default" w:ascii="Times New Roman" w:hAnsi="Times New Roman" w:cs="Times New Roman"/>
                                        <w:lang w:eastAsia="zh-CN"/>
                                      </w:rPr>
                                      <w:t>500</w:t>
                                    </w:r>
                                  </w:p>
                                </w:txbxContent>
                              </wps:txbx>
                              <wps:bodyPr wrap="square" lIns="18000" tIns="10800" rIns="18000" bIns="10800" upright="1"/>
                            </wps:wsp>
                            <wps:wsp>
                              <wps:cNvPr id="79" name="自选图形 599"/>
                              <wps:cNvCnPr/>
                              <wps:spPr>
                                <a:xfrm>
                                  <a:off x="1706245" y="404495"/>
                                  <a:ext cx="3810" cy="2682240"/>
                                </a:xfrm>
                                <a:prstGeom prst="straightConnector1">
                                  <a:avLst/>
                                </a:prstGeom>
                                <a:ln w="9525" cap="flat" cmpd="sng">
                                  <a:solidFill>
                                    <a:srgbClr val="000000"/>
                                  </a:solidFill>
                                  <a:prstDash val="solid"/>
                                  <a:headEnd type="none" w="med" len="med"/>
                                  <a:tailEnd type="none" w="med" len="med"/>
                                </a:ln>
                                <a:effectLst/>
                              </wps:spPr>
                              <wps:bodyPr wrap="square" upright="1"/>
                            </wps:wsp>
                            <wps:wsp>
                              <wps:cNvPr id="80" name="自选图形 600"/>
                              <wps:cNvCnPr/>
                              <wps:spPr>
                                <a:xfrm>
                                  <a:off x="1706880" y="1235986"/>
                                  <a:ext cx="97917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1" name="文本框 601"/>
                              <wps:cNvSpPr txBox="1"/>
                              <wps:spPr>
                                <a:xfrm>
                                  <a:off x="2000250" y="1026389"/>
                                  <a:ext cx="636270" cy="209597"/>
                                </a:xfrm>
                                <a:prstGeom prst="rect">
                                  <a:avLst/>
                                </a:prstGeom>
                                <a:noFill/>
                                <a:ln>
                                  <a:noFill/>
                                </a:ln>
                                <a:effectLst/>
                              </wps:spPr>
                              <wps:txbx>
                                <w:txbxContent>
                                  <w:p>
                                    <w:pPr>
                                      <w:rPr>
                                        <w:rFonts w:hint="default" w:ascii="Times New Roman" w:hAnsi="Times New Roman" w:cs="Times New Roman"/>
                                      </w:rPr>
                                    </w:pPr>
                                    <w:r>
                                      <w:rPr>
                                        <w:rFonts w:hint="default" w:ascii="Times New Roman" w:hAnsi="Times New Roman" w:cs="Times New Roman"/>
                                        <w:lang w:val="en-US" w:eastAsia="zh-CN"/>
                                      </w:rPr>
                                      <w:t>5025</w:t>
                                    </w:r>
                                    <w:r>
                                      <w:rPr>
                                        <w:rFonts w:hint="default" w:ascii="Times New Roman" w:hAnsi="Times New Roman" w:cs="Times New Roman"/>
                                      </w:rPr>
                                      <w:t>0</w:t>
                                    </w:r>
                                  </w:p>
                                </w:txbxContent>
                              </wps:txbx>
                              <wps:bodyPr wrap="square" lIns="18000" tIns="10800" rIns="18000" bIns="10800" upright="1"/>
                            </wps:wsp>
                            <wps:wsp>
                              <wps:cNvPr id="82" name="文本框 602"/>
                              <wps:cNvSpPr txBox="1"/>
                              <wps:spPr>
                                <a:xfrm>
                                  <a:off x="2684780" y="1026389"/>
                                  <a:ext cx="715645" cy="208327"/>
                                </a:xfrm>
                                <a:prstGeom prst="rect">
                                  <a:avLst/>
                                </a:prstGeom>
                                <a:noFill/>
                                <a:ln>
                                  <a:noFill/>
                                </a:ln>
                                <a:effectLst/>
                              </wps:spPr>
                              <wps:txbx>
                                <w:txbxContent>
                                  <w:p>
                                    <w:pPr>
                                      <w:ind w:firstLine="105" w:firstLineChars="50"/>
                                      <w:jc w:val="center"/>
                                      <w:rPr>
                                        <w:rFonts w:hint="default" w:eastAsia="黑体"/>
                                        <w:bCs/>
                                        <w:lang w:val="en-US" w:eastAsia="zh-CN"/>
                                      </w:rPr>
                                    </w:pPr>
                                    <w:r>
                                      <w:rPr>
                                        <w:rFonts w:hint="eastAsia" w:eastAsia="黑体"/>
                                        <w:bCs/>
                                        <w:lang w:val="en-US" w:eastAsia="zh-CN"/>
                                      </w:rPr>
                                      <w:t>100</w:t>
                                    </w:r>
                                  </w:p>
                                </w:txbxContent>
                              </wps:txbx>
                              <wps:bodyPr wrap="square" lIns="18000" tIns="10800" rIns="18000" bIns="10800" upright="1"/>
                            </wps:wsp>
                            <wps:wsp>
                              <wps:cNvPr id="83" name="自选图形 603"/>
                              <wps:cNvCnPr/>
                              <wps:spPr>
                                <a:xfrm>
                                  <a:off x="2693035" y="1236621"/>
                                  <a:ext cx="835025"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4" name="文本框 604"/>
                              <wps:cNvSpPr txBox="1"/>
                              <wps:spPr>
                                <a:xfrm>
                                  <a:off x="3528060" y="1091174"/>
                                  <a:ext cx="913765" cy="305503"/>
                                </a:xfrm>
                                <a:prstGeom prst="rect">
                                  <a:avLst/>
                                </a:prstGeom>
                                <a:noFill/>
                                <a:ln w="9525" cap="flat" cmpd="sng">
                                  <a:solidFill>
                                    <a:srgbClr val="000000"/>
                                  </a:solidFill>
                                  <a:prstDash val="solid"/>
                                  <a:miter/>
                                  <a:headEnd type="none" w="med" len="med"/>
                                  <a:tailEnd type="none" w="med" len="med"/>
                                </a:ln>
                                <a:effectLst/>
                              </wps:spPr>
                              <wps:txbx>
                                <w:txbxContent>
                                  <w:p>
                                    <w:pPr>
                                      <w:ind w:firstLine="105" w:firstLineChars="50"/>
                                      <w:rPr>
                                        <w:rFonts w:hint="eastAsia" w:ascii="宋体" w:hAnsi="宋体" w:cs="宋体"/>
                                        <w:bCs/>
                                      </w:rPr>
                                    </w:pPr>
                                    <w:r>
                                      <w:rPr>
                                        <w:rFonts w:hint="eastAsia" w:ascii="宋体" w:hAnsi="宋体" w:cs="宋体"/>
                                        <w:bCs/>
                                      </w:rPr>
                                      <w:t>不合格干坯</w:t>
                                    </w:r>
                                  </w:p>
                                </w:txbxContent>
                              </wps:txbx>
                              <wps:bodyPr wrap="square" lIns="18000" tIns="46800" rIns="18000" bIns="10800" upright="1"/>
                            </wps:wsp>
                            <wps:wsp>
                              <wps:cNvPr id="85" name="自选图形 605"/>
                              <wps:cNvCnPr/>
                              <wps:spPr>
                                <a:xfrm>
                                  <a:off x="4441825" y="1237256"/>
                                  <a:ext cx="297180" cy="127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6" name="文本框 606"/>
                              <wps:cNvSpPr txBox="1"/>
                              <wps:spPr>
                                <a:xfrm>
                                  <a:off x="4746625" y="1140080"/>
                                  <a:ext cx="821055" cy="210232"/>
                                </a:xfrm>
                                <a:prstGeom prst="rect">
                                  <a:avLst/>
                                </a:prstGeom>
                                <a:noFill/>
                                <a:ln>
                                  <a:noFill/>
                                </a:ln>
                                <a:effectLst/>
                              </wps:spPr>
                              <wps:txbx>
                                <w:txbxContent>
                                  <w:p>
                                    <w:pPr>
                                      <w:ind w:firstLine="105" w:firstLineChars="50"/>
                                      <w:rPr>
                                        <w:rFonts w:hint="eastAsia" w:ascii="宋体" w:hAnsi="宋体" w:cs="宋体"/>
                                        <w:bCs/>
                                      </w:rPr>
                                    </w:pPr>
                                    <w:r>
                                      <w:rPr>
                                        <w:rFonts w:hint="eastAsia" w:ascii="宋体" w:hAnsi="宋体" w:cs="宋体"/>
                                        <w:bCs/>
                                      </w:rPr>
                                      <w:t>随产品出售</w:t>
                                    </w:r>
                                  </w:p>
                                </w:txbxContent>
                              </wps:txbx>
                              <wps:bodyPr wrap="square" lIns="18000" tIns="10800" rIns="18000" bIns="10800" upright="1"/>
                            </wps:wsp>
                            <wps:wsp>
                              <wps:cNvPr id="87" name="文本框 660"/>
                              <wps:cNvSpPr txBox="1"/>
                              <wps:spPr>
                                <a:xfrm>
                                  <a:off x="321310" y="2470066"/>
                                  <a:ext cx="698500" cy="304868"/>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颜料</w:t>
                                    </w:r>
                                  </w:p>
                                </w:txbxContent>
                              </wps:txbx>
                              <wps:bodyPr wrap="square" lIns="18000" tIns="46800" rIns="18000" bIns="10800" upright="1"/>
                            </wps:wsp>
                            <wps:wsp>
                              <wps:cNvPr id="88" name="自选图形 661"/>
                              <wps:cNvCnPr/>
                              <wps:spPr>
                                <a:xfrm>
                                  <a:off x="1021080" y="2616784"/>
                                  <a:ext cx="685800" cy="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9" name="文本框 662"/>
                              <wps:cNvSpPr txBox="1"/>
                              <wps:spPr>
                                <a:xfrm>
                                  <a:off x="1148080" y="2413539"/>
                                  <a:ext cx="457200" cy="203245"/>
                                </a:xfrm>
                                <a:prstGeom prst="rect">
                                  <a:avLst/>
                                </a:prstGeom>
                                <a:noFill/>
                                <a:ln>
                                  <a:noFill/>
                                </a:ln>
                                <a:effectLst/>
                              </wps:spPr>
                              <wps:txbx>
                                <w:txbxContent>
                                  <w:p>
                                    <w:pPr>
                                      <w:rPr>
                                        <w:rFonts w:hint="default" w:ascii="Times New Roman" w:hAnsi="Times New Roman" w:eastAsia="宋体"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25</w:t>
                                    </w:r>
                                  </w:p>
                                </w:txbxContent>
                              </wps:txbx>
                              <wps:bodyPr wrap="square" lIns="18000" tIns="10800" rIns="18000" bIns="10800" upright="1"/>
                            </wps:wsp>
                            <wps:wsp>
                              <wps:cNvPr id="311" name="文本框 583"/>
                              <wps:cNvSpPr txBox="1"/>
                              <wps:spPr>
                                <a:xfrm>
                                  <a:off x="321310" y="2945765"/>
                                  <a:ext cx="699770" cy="30543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粉煤灰</w:t>
                                    </w:r>
                                  </w:p>
                                </w:txbxContent>
                              </wps:txbx>
                              <wps:bodyPr wrap="square" lIns="18000" tIns="46800" rIns="18000" bIns="10800" upright="1"/>
                            </wps:wsp>
                            <wps:wsp>
                              <wps:cNvPr id="312" name="自选图形 661"/>
                              <wps:cNvCnPr/>
                              <wps:spPr>
                                <a:xfrm>
                                  <a:off x="1042670" y="3093085"/>
                                  <a:ext cx="685800" cy="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313" name="文本框 662"/>
                              <wps:cNvSpPr txBox="1"/>
                              <wps:spPr>
                                <a:xfrm>
                                  <a:off x="1169670" y="2889885"/>
                                  <a:ext cx="457200" cy="203200"/>
                                </a:xfrm>
                                <a:prstGeom prst="rect">
                                  <a:avLst/>
                                </a:prstGeom>
                                <a:noFill/>
                                <a:ln>
                                  <a:noFill/>
                                </a:ln>
                                <a:effectLst/>
                              </wps:spPr>
                              <wps:txbx>
                                <w:txbxContent>
                                  <w:p>
                                    <w:pPr>
                                      <w:rPr>
                                        <w:rFonts w:hint="default" w:ascii="Times New Roman" w:hAnsi="Times New Roman" w:cs="Times New Roman"/>
                                      </w:rPr>
                                    </w:pPr>
                                    <w:r>
                                      <w:rPr>
                                        <w:rFonts w:hint="default" w:ascii="Times New Roman" w:hAnsi="Times New Roman" w:cs="Times New Roman"/>
                                        <w:lang w:val="en-US" w:eastAsia="zh-CN"/>
                                      </w:rPr>
                                      <w:t>60</w:t>
                                    </w:r>
                                    <w:r>
                                      <w:rPr>
                                        <w:rFonts w:hint="default" w:ascii="Times New Roman" w:hAnsi="Times New Roman" w:cs="Times New Roman"/>
                                      </w:rPr>
                                      <w:t>00</w:t>
                                    </w:r>
                                  </w:p>
                                </w:txbxContent>
                              </wps:txbx>
                              <wps:bodyPr wrap="square" lIns="18000" tIns="10800" rIns="18000" bIns="10800" upright="1"/>
                            </wps:wsp>
                          </wpc:wpc>
                        </a:graphicData>
                      </a:graphic>
                    </wp:anchor>
                  </w:drawing>
                </mc:Choice>
                <mc:Fallback>
                  <w:pict>
                    <v:group id="画布 574" o:spid="_x0000_s1026" o:spt="203" style="position:absolute;left:0pt;margin-left:4.1pt;margin-top:5.75pt;height:273.05pt;width:443.65pt;mso-wrap-distance-bottom:0pt;mso-wrap-distance-top:0pt;z-index:252082176;mso-width-relative:page;mso-height-relative:page;" coordsize="5634355,3467735" editas="canvas" o:gfxdata="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">
                      <o:lock v:ext="edit" aspectratio="f"/>
                      <v:shape id="画布 574" o:spid="_x0000_s1026" style="position:absolute;left:0;top:0;height:3467735;width:5634355;" filled="f" stroked="f" coordsize="21600,21600" o:gfxdata="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">
                        <v:fill on="f" focussize="0,0"/>
                        <v:stroke on="f"/>
                        <v:imagedata o:title=""/>
                        <o:lock v:ext="edit" aspectratio="t"/>
                      </v:shape>
                      <v:shape id="自选图形 576" o:spid="_x0000_s1026" o:spt="32" type="#_x0000_t32" style="position:absolute;left:1021080;top:403950;height:635;width:68580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whx&#10;2QAAAAgBAAAPAAAAAAAAAAEAIAAAACIAAABkcnMvZG93bnJldi54bWxQSwECFAAUAAAACACHTuJA&#10;PIIHUyACAAAeBAAADgAAAAAAAAABACAAAAAoAQAAZHJzL2Uyb0RvYy54bWxQSwUGAAAAAAYABgBZ&#10;AQAAugUAAAAA&#10;">
                        <v:fill on="f" focussize="0,0"/>
                        <v:stroke color="#000000" joinstyle="round" endarrow="block"/>
                        <v:imagedata o:title=""/>
                        <o:lock v:ext="edit" aspectratio="f"/>
                      </v:shape>
                      <v:shape id="文本框 577" o:spid="_x0000_s1026" o:spt="202" type="#_x0000_t202" style="position:absolute;left:1154430;top:194353;height:209597;width:46037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GbdTPWAAAACAEAAA8AAAAA&#10;AAAAAQAgAAAAIgAAAGRycy9kb3ducmV2LnhtbFBLAQIUABQAAAAIAIdO4kCbAwic3QEAAKsDAAAO&#10;AAAAAAAAAAEAIAAAACUBAABkcnMvZTJvRG9jLnhtbFBLBQYAAAAABgAGAFkBAAB0BQAAAAA=&#10;">
                        <v:fill on="f" focussize="0,0"/>
                        <v:stroke on="f"/>
                        <v:imagedata o:title=""/>
                        <o:lock v:ext="edit" aspectratio="f"/>
                        <v:textbox inset="0.5mm,0.3mm,0.5mm,0.3mm">
                          <w:txbxContent>
                            <w:p>
                              <w:pPr>
                                <w:rPr>
                                  <w:rFonts w:hint="default" w:ascii="Times New Roman" w:hAnsi="Times New Roman" w:eastAsia="宋体" w:cs="Times New Roman"/>
                                  <w:lang w:eastAsia="zh-CN"/>
                                </w:rPr>
                              </w:pPr>
                              <w:r>
                                <w:rPr>
                                  <w:rFonts w:hint="default" w:ascii="Times New Roman" w:hAnsi="Times New Roman" w:cs="Times New Roman"/>
                                  <w:lang w:eastAsia="zh-CN"/>
                                </w:rPr>
                                <w:t>7500</w:t>
                              </w:r>
                            </w:p>
                          </w:txbxContent>
                        </v:textbox>
                      </v:shape>
                      <v:shape id="文本框 578" o:spid="_x0000_s1026" o:spt="202" type="#_x0000_t202" style="position:absolute;left:4731385;top:521451;height:210232;width:71437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Zt1M9YAAAAIAQAADwAAAAAA&#10;AAABACAAAAAiAAAAZHJzL2Rvd25yZXYueG1sUEsBAhQAFAAAAAgAh07iQMJAobjcAQAAqwMAAA4A&#10;AAAAAAAAAQAgAAAAJQEAAGRycy9lMm9Eb2MueG1sUEsFBgAAAAAGAAYAWQEAAHMFAAAAAA==&#10;">
                        <v:fill on="f" focussize="0,0"/>
                        <v:stroke on="f"/>
                        <v:imagedata o:title=""/>
                        <o:lock v:ext="edit" aspectratio="f"/>
                        <v:textbox inset="0.5mm,0.3mm,0.5mm,0.3mm">
                          <w:txbxContent>
                            <w:p>
                              <w:pPr>
                                <w:ind w:firstLine="105" w:firstLineChars="50"/>
                              </w:pPr>
                              <w:r>
                                <w:rPr>
                                  <w:rFonts w:hint="eastAsia"/>
                                </w:rPr>
                                <w:t>产品外售</w:t>
                              </w:r>
                            </w:p>
                          </w:txbxContent>
                        </v:textbox>
                      </v:shape>
                      <v:shape id="文本框 579" o:spid="_x0000_s1026" o:spt="202" type="#_x0000_t202" style="position:absolute;left:2589530;top:403950;height:208327;width:938530;"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GbdTPWAAAACAEAAA8AAAAAAAAA&#10;AQAgAAAAIgAAAGRycy9kb3ducmV2LnhtbFBLAQIUABQAAAAIAIdO4kCd4L5H2gEAAKsDAAAOAAAA&#10;AAAAAAEAIAAAACUBAABkcnMvZTJvRG9jLnhtbFBLBQYAAAAABgAGAFkBAABxBQAAAAA=&#10;">
                        <v:fill on="f" focussize="0,0"/>
                        <v:stroke on="f"/>
                        <v:imagedata o:title=""/>
                        <o:lock v:ext="edit" aspectratio="f"/>
                        <v:textbox inset="0.5mm,0.3mm,0.5mm,0.3mm">
                          <w:txbxContent>
                            <w:p>
                              <w:pPr>
                                <w:ind w:firstLine="105" w:firstLineChars="50"/>
                                <w:jc w:val="center"/>
                                <w:rPr>
                                  <w:rFonts w:hint="default" w:eastAsia="黑体"/>
                                  <w:bCs/>
                                  <w:lang w:val="en-US" w:eastAsia="zh-CN"/>
                                </w:rPr>
                              </w:pPr>
                              <w:r>
                                <w:rPr>
                                  <w:rFonts w:hint="eastAsia" w:eastAsia="黑体"/>
                                  <w:bCs/>
                                  <w:lang w:val="en-US" w:eastAsia="zh-CN"/>
                                </w:rPr>
                                <w:t>50149.682</w:t>
                              </w:r>
                            </w:p>
                          </w:txbxContent>
                        </v:textbox>
                      </v:shape>
                      <v:shape id="自选图形 580" o:spid="_x0000_s1026" o:spt="32" type="#_x0000_t32" style="position:absolute;left:2684780;top:624344;height:1259486;width:635;" filled="f" stroked="t" coordsize="21600,21600" o:gfxdata="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PnTBjXAAAACAEAAA8A&#10;AAAAAAAAAQAgAAAAIgAAAGRycy9kb3ducmV2LnhtbFBLAQIUABQAAAAIAIdO4kBSxIjtGAIAABsE&#10;AAAOAAAAAAAAAAEAIAAAACYBAABkcnMvZTJvRG9jLnhtbFBLBQYAAAAABgAGAFkBAACwBQAAAAA=&#10;">
                        <v:fill on="f" focussize="0,0"/>
                        <v:stroke color="#000000" joinstyle="round"/>
                        <v:imagedata o:title=""/>
                        <o:lock v:ext="edit" aspectratio="f"/>
                      </v:shape>
                      <v:shape id="自选图形 581" o:spid="_x0000_s1026" o:spt="32" type="#_x0000_t32" style="position:absolute;left:2684780;top:624980;height:635;width:835025;"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7CHHZ&#10;AAAACAEAAA8AAAAAAAAAAQAgAAAAIgAAAGRycy9kb3ducmV2LnhtbFBLAQIUABQAAAAIAIdO4kAd&#10;+M7JHwIAAB4EAAAOAAAAAAAAAAEAIAAAACgBAABkcnMvZTJvRG9jLnhtbFBLBQYAAAAABgAGAFkB&#10;AAC5BQAAAAA=&#10;">
                        <v:fill on="f" focussize="0,0"/>
                        <v:stroke color="#000000" joinstyle="round" endarrow="block"/>
                        <v:imagedata o:title=""/>
                        <o:lock v:ext="edit" aspectratio="f"/>
                      </v:shape>
                      <v:shape id="文本框 582" o:spid="_x0000_s1026" o:spt="202" type="#_x0000_t202" style="position:absolute;left:3519805;top:479532;height:305503;width:913765;"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ZTGCtUAAAAIAQAADwAAAAAAAAABACAAAAAiAAAAZHJzL2Rvd25y&#10;ZXYueG1sUEsBAhQAFAAAAAgAh07iQAWE3j06AgAAagQAAA4AAAAAAAAAAQAgAAAAJAEAAGRycy9l&#10;Mm9Eb2MueG1sUEsFBgAAAAAGAAYAWQEAANAFAAAAAA==&#10;">
                        <v:fill on="f" focussize="0,0"/>
                        <v:stroke color="#000000" joinstyle="miter"/>
                        <v:imagedata o:title=""/>
                        <o:lock v:ext="edit" aspectratio="f"/>
                        <v:textbox inset="0.5mm,1.3mm,0.5mm,0.3mm">
                          <w:txbxContent>
                            <w:p>
                              <w:pPr>
                                <w:jc w:val="center"/>
                                <w:rPr>
                                  <w:rFonts w:hint="eastAsia" w:eastAsia="宋体"/>
                                  <w:lang w:eastAsia="zh-CN"/>
                                </w:rPr>
                              </w:pPr>
                              <w:r>
                                <w:rPr>
                                  <w:rFonts w:hint="eastAsia"/>
                                </w:rPr>
                                <w:t>成品</w:t>
                              </w:r>
                              <w:r>
                                <w:rPr>
                                  <w:rFonts w:hint="eastAsia"/>
                                  <w:lang w:eastAsia="zh-CN"/>
                                </w:rPr>
                                <w:t>砖</w:t>
                              </w:r>
                            </w:p>
                          </w:txbxContent>
                        </v:textbox>
                      </v:shape>
                      <v:shape id="文本框 583" o:spid="_x0000_s1026" o:spt="202" type="#_x0000_t202" style="position:absolute;left:321310;top:236273;height:305503;width:699770;"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ZTGCtUAAAAIAQAADwAAAAAAAAABACAAAAAiAAAAZHJzL2Rvd25y&#10;ZXYueG1sUEsBAhQAFAAAAAgAh07iQJAR/cU6AgAAaQQAAA4AAAAAAAAAAQAgAAAAJAEAAGRycy9l&#10;Mm9Eb2MueG1sUEsFBgAAAAAGAAYAWQEAANAFAAAAAA==&#10;">
                        <v:fill on="f" focussize="0,0"/>
                        <v:stroke color="#000000" joinstyle="miter"/>
                        <v:imagedata o:title=""/>
                        <o:lock v:ext="edit" aspectratio="f"/>
                        <v:textbox inset="0.5mm,1.3mm,0.5mm,0.3mm">
                          <w:txbxContent>
                            <w:p>
                              <w:pPr>
                                <w:jc w:val="center"/>
                              </w:pPr>
                              <w:r>
                                <w:rPr>
                                  <w:rFonts w:hint="eastAsia"/>
                                </w:rPr>
                                <w:t>水泥</w:t>
                              </w:r>
                            </w:p>
                          </w:txbxContent>
                        </v:textbox>
                      </v:shape>
                      <v:shape id="文本框 584" o:spid="_x0000_s1026" o:spt="202" type="#_x0000_t202" style="position:absolute;left:4746625;top:1746640;height:210232;width:868680;"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xm3Uz1gAAAAgBAAAPAAAAAAAA&#10;AAEAIAAAACIAAABkcnMvZG93bnJldi54bWxQSwECFAAUAAAACACHTuJANa9GLtsBAACsAwAADgAA&#10;AAAAAAABACAAAAAlAQAAZHJzL2Uyb0RvYy54bWxQSwUGAAAAAAYABgBZAQAAcgUAAAAA&#10;">
                        <v:fill on="f" focussize="0,0"/>
                        <v:stroke on="f"/>
                        <v:imagedata o:title=""/>
                        <o:lock v:ext="edit" aspectratio="f"/>
                        <v:textbox inset="0.5mm,0.3mm,0.5mm,0.3mm">
                          <w:txbxContent>
                            <w:p>
                              <w:pPr>
                                <w:ind w:firstLine="105" w:firstLineChars="50"/>
                                <w:rPr>
                                  <w:rFonts w:hint="eastAsia" w:ascii="宋体" w:hAnsi="宋体" w:cs="宋体"/>
                                  <w:bCs/>
                                </w:rPr>
                              </w:pPr>
                              <w:r>
                                <w:rPr>
                                  <w:rFonts w:hint="eastAsia" w:ascii="宋体" w:hAnsi="宋体" w:cs="宋体"/>
                                  <w:bCs/>
                                </w:rPr>
                                <w:t>达标排放</w:t>
                              </w:r>
                            </w:p>
                          </w:txbxContent>
                        </v:textbox>
                      </v:shape>
                      <v:shape id="文本框 585" o:spid="_x0000_s1026" o:spt="202" type="#_x0000_t202" style="position:absolute;left:2636520;top:1677410;height:208327;width:71564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Zt1M9YAAAAIAQAADwAAAAAA&#10;AAABACAAAAAiAAAAZHJzL2Rvd25yZXYueG1sUEsBAhQAFAAAAAgAh07iQGFpgCncAQAArAMAAA4A&#10;AAAAAAAAAQAgAAAAJQEAAGRycy9lMm9Eb2MueG1sUEsFBgAAAAAGAAYAWQEAAHMFAAAAAA==&#10;">
                        <v:fill on="f" focussize="0,0"/>
                        <v:stroke on="f"/>
                        <v:imagedata o:title=""/>
                        <o:lock v:ext="edit" aspectratio="f"/>
                        <v:textbox inset="0.5mm,0.3mm,0.5mm,0.3mm">
                          <w:txbxContent>
                            <w:p>
                              <w:pPr>
                                <w:ind w:firstLine="210" w:firstLineChars="100"/>
                                <w:jc w:val="center"/>
                                <w:rPr>
                                  <w:rFonts w:hint="default" w:ascii="Times New Roman" w:hAnsi="Times New Roman" w:eastAsia="宋体" w:cs="Times New Roman"/>
                                  <w:bCs/>
                                  <w:lang w:val="en-US" w:eastAsia="zh-CN"/>
                                </w:rPr>
                              </w:pPr>
                              <w:r>
                                <w:rPr>
                                  <w:rFonts w:hint="eastAsia" w:cs="Times New Roman"/>
                                  <w:bCs/>
                                  <w:lang w:val="en-US" w:eastAsia="zh-CN"/>
                                </w:rPr>
                                <w:t>0.318</w:t>
                              </w:r>
                            </w:p>
                          </w:txbxContent>
                        </v:textbox>
                      </v:shape>
                      <v:shape id="自选图形 586" o:spid="_x0000_s1026" o:spt="32" type="#_x0000_t32" style="position:absolute;left:2693035;top:1883831;height:635;width:835025;"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sI&#10;cdkAAAAIAQAADwAAAAAAAAABACAAAAAiAAAAZHJzL2Rvd25yZXYueG1sUEsBAhQAFAAAAAgAh07i&#10;QOyCG2QhAgAAHwQAAA4AAAAAAAAAAQAgAAAAKAEAAGRycy9lMm9Eb2MueG1sUEsFBgAAAAAGAAYA&#10;WQEAALsFAAAAAA==&#10;">
                        <v:fill on="f" focussize="0,0"/>
                        <v:stroke color="#000000" joinstyle="round" endarrow="block"/>
                        <v:imagedata o:title=""/>
                        <o:lock v:ext="edit" aspectratio="f"/>
                      </v:shape>
                      <v:shape id="文本框 587" o:spid="_x0000_s1026" o:spt="202" type="#_x0000_t202" style="position:absolute;left:3528060;top:1738383;height:305503;width:913765;"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llMYK1QAAAAgBAAAPAAAAAAAAAAEAIAAAACIAAABkcnMvZG93bnJl&#10;di54bWxQSwECFAAUAAAACACHTuJADPOauzkCAABrBAAADgAAAAAAAAABACAAAAAkAQAAZHJzL2Uy&#10;b0RvYy54bWxQSwUGAAAAAAYABgBZAQAAzwUAAAAA&#10;">
                        <v:fill on="f" focussize="0,0"/>
                        <v:stroke color="#000000" joinstyle="miter"/>
                        <v:imagedata o:title=""/>
                        <o:lock v:ext="edit" aspectratio="f"/>
                        <v:textbox inset="0.5mm,1.3mm,0.5mm,0.3mm">
                          <w:txbxContent>
                            <w:p>
                              <w:pPr>
                                <w:jc w:val="center"/>
                                <w:rPr>
                                  <w:rFonts w:hint="eastAsia" w:ascii="宋体" w:hAnsi="宋体" w:eastAsia="宋体" w:cs="宋体"/>
                                  <w:bCs/>
                                  <w:lang w:eastAsia="zh-CN"/>
                                </w:rPr>
                              </w:pPr>
                              <w:r>
                                <w:rPr>
                                  <w:rFonts w:hint="eastAsia" w:ascii="宋体" w:hAnsi="宋体" w:cs="宋体"/>
                                  <w:bCs/>
                                  <w:lang w:eastAsia="zh-CN"/>
                                </w:rPr>
                                <w:t>颗粒物</w:t>
                              </w:r>
                            </w:p>
                          </w:txbxContent>
                        </v:textbox>
                      </v:shape>
                      <v:shape id="自选图形 588" o:spid="_x0000_s1026" o:spt="32" type="#_x0000_t32" style="position:absolute;left:4441825;top:1884466;height:1270;width:29718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sIcdkAAAAIAQAADwAAAAAAAAABACAAAAAiAAAAZHJzL2Rvd25yZXYueG1sUEsBAhQAFAAAAAgA&#10;h07iQFlaCd4kAgAAIAQAAA4AAAAAAAAAAQAgAAAAKAEAAGRycy9lMm9Eb2MueG1sUEsFBgAAAAAG&#10;AAYAWQEAAL4FAAAAAA==&#10;">
                        <v:fill on="f" focussize="0,0"/>
                        <v:stroke color="#000000" joinstyle="round" endarrow="block"/>
                        <v:imagedata o:title=""/>
                        <o:lock v:ext="edit" aspectratio="f"/>
                      </v:shape>
                      <v:shape id="自选图形 589" o:spid="_x0000_s1026" o:spt="32" type="#_x0000_t32" style="position:absolute;left:4434205;top:625615;height:1270;width:29718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7CHHZAAAACAEAAA8AAAAAAAAAAQAgAAAAIgAAAGRycy9kb3ducmV2LnhtbFBLAQIUABQAAAAI&#10;AIdO4kCeJ4LzJQIAAB8EAAAOAAAAAAAAAAEAIAAAACgBAABkcnMvZTJvRG9jLnhtbFBLBQYAAAAA&#10;BgAGAFkBAAC/BQAAAAA=&#10;">
                        <v:fill on="f" focussize="0,0"/>
                        <v:stroke color="#000000" joinstyle="round" endarrow="block"/>
                        <v:imagedata o:title=""/>
                        <o:lock v:ext="edit" aspectratio="f"/>
                      </v:shape>
                      <v:shape id="文本框 590" o:spid="_x0000_s1026" o:spt="202" type="#_x0000_t202" style="position:absolute;left:321310;top:834576;height:305503;width:699770;"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llMYK1QAAAAgBAAAPAAAAAAAAAAEAIAAAACIAAABkcnMvZG93bnJldi54&#10;bWxQSwECFAAUAAAACACHTuJA17zm0jYCAABpBAAADgAAAAAAAAABACAAAAAkAQAAZHJzL2Uyb0Rv&#10;Yy54bWxQSwUGAAAAAAYABgBZAQAAzAUAAAAA&#10;">
                        <v:fill on="f" focussize="0,0"/>
                        <v:stroke color="#000000" joinstyle="miter"/>
                        <v:imagedata o:title=""/>
                        <o:lock v:ext="edit" aspectratio="f"/>
                        <v:textbox inset="0.5mm,1.3mm,0.5mm,0.3mm">
                          <w:txbxContent>
                            <w:p>
                              <w:pPr>
                                <w:jc w:val="center"/>
                                <w:rPr>
                                  <w:rFonts w:hint="eastAsia"/>
                                </w:rPr>
                              </w:pPr>
                              <w:r>
                                <w:rPr>
                                  <w:rFonts w:hint="eastAsia"/>
                                </w:rPr>
                                <w:t>透水剂</w:t>
                              </w:r>
                            </w:p>
                          </w:txbxContent>
                        </v:textbox>
                      </v:shape>
                      <v:shape id="文本框 591" o:spid="_x0000_s1026" o:spt="202" type="#_x0000_t202" style="position:absolute;left:321310;top:1396677;height:305503;width:699770;"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llMYK1QAAAAgBAAAPAAAAAAAAAAEAIAAAACIAAABkcnMvZG93bnJl&#10;di54bWxQSwECFAAUAAAACACHTuJA/5WEpTkCAABqBAAADgAAAAAAAAABACAAAAAkAQAAZHJzL2Uy&#10;b0RvYy54bWxQSwUGAAAAAAYABgBZAQAAzwUAAAAA&#10;">
                        <v:fill on="f" focussize="0,0"/>
                        <v:stroke color="#000000" joinstyle="miter"/>
                        <v:imagedata o:title=""/>
                        <o:lock v:ext="edit" aspectratio="f"/>
                        <v:textbox inset="0.5mm,1.3mm,0.5mm,0.3mm">
                          <w:txbxContent>
                            <w:p>
                              <w:pPr>
                                <w:jc w:val="center"/>
                                <w:rPr>
                                  <w:rFonts w:hint="eastAsia"/>
                                </w:rPr>
                              </w:pPr>
                              <w:r>
                                <w:rPr>
                                  <w:rFonts w:hint="eastAsia"/>
                                </w:rPr>
                                <w:t>沙子</w:t>
                              </w:r>
                            </w:p>
                          </w:txbxContent>
                        </v:textbox>
                      </v:shape>
                      <v:shape id="文本框 592" o:spid="_x0000_s1026" o:spt="202" type="#_x0000_t202" style="position:absolute;left:321310;top:1937183;height:305503;width:699770;"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ZTGCtUAAAAIAQAADwAAAAAAAAABACAAAAAiAAAAZHJzL2Rvd25y&#10;ZXYueG1sUEsBAhQAFAAAAAgAh07iQDnAqdw6AgAAagQAAA4AAAAAAAAAAQAgAAAAJAEAAGRycy9l&#10;Mm9Eb2MueG1sUEsFBgAAAAAGAAYAWQEAANAFAAAAAA==&#10;">
                        <v:fill on="f" focussize="0,0"/>
                        <v:stroke color="#000000" joinstyle="miter"/>
                        <v:imagedata o:title=""/>
                        <o:lock v:ext="edit" aspectratio="f"/>
                        <v:textbox inset="0.5mm,1.3mm,0.5mm,0.3mm">
                          <w:txbxContent>
                            <w:p>
                              <w:pPr>
                                <w:jc w:val="center"/>
                                <w:rPr>
                                  <w:rFonts w:hint="eastAsia"/>
                                </w:rPr>
                              </w:pPr>
                              <w:r>
                                <w:rPr>
                                  <w:rFonts w:hint="eastAsia"/>
                                </w:rPr>
                                <w:t>石沫</w:t>
                              </w:r>
                            </w:p>
                          </w:txbxContent>
                        </v:textbox>
                      </v:shape>
                      <v:shape id="自选图形 593" o:spid="_x0000_s1026" o:spt="32" type="#_x0000_t32" style="position:absolute;left:1021080;top:1002254;height:635;width:68580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whx&#10;2QAAAAgBAAAPAAAAAAAAAAEAIAAAACIAAABkcnMvZG93bnJldi54bWxQSwECFAAUAAAACACHTuJA&#10;7TAtnCACAAAfBAAADgAAAAAAAAABACAAAAAoAQAAZHJzL2Uyb0RvYy54bWxQSwUGAAAAAAYABgBZ&#10;AQAAugUAAAAA&#10;">
                        <v:fill on="f" focussize="0,0"/>
                        <v:stroke color="#000000" joinstyle="round" endarrow="block"/>
                        <v:imagedata o:title=""/>
                        <o:lock v:ext="edit" aspectratio="f"/>
                      </v:shape>
                      <v:shape id="文本框 594" o:spid="_x0000_s1026" o:spt="202" type="#_x0000_t202" style="position:absolute;left:1154430;top:792657;height:209597;width:46037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xm3Uz1gAAAAgBAAAPAAAA&#10;AAAAAAEAIAAAACIAAABkcnMvZG93bnJldi54bWxQSwECFAAUAAAACACHTuJAf5ZTm94BAACrAwAA&#10;DgAAAAAAAAABACAAAAAlAQAAZHJzL2Uyb0RvYy54bWxQSwUGAAAAAAYABgBZAQAAdQUAAAAA&#10;">
                        <v:fill on="f" focussize="0,0"/>
                        <v:stroke on="f"/>
                        <v:imagedata o:title=""/>
                        <o:lock v:ext="edit" aspectratio="f"/>
                        <v:textbox inset="0.5mm,0.3mm,0.5mm,0.3mm">
                          <w:txbxContent>
                            <w:p>
                              <w:pPr>
                                <w:rPr>
                                  <w:rFonts w:hint="default" w:ascii="Times New Roman" w:hAnsi="Times New Roman" w:eastAsia="宋体" w:cs="Times New Roman"/>
                                  <w:lang w:val="en-US" w:eastAsia="zh-CN"/>
                                </w:rPr>
                              </w:pPr>
                              <w:r>
                                <w:rPr>
                                  <w:rFonts w:hint="default" w:ascii="Times New Roman" w:hAnsi="Times New Roman" w:cs="Times New Roman"/>
                                  <w:lang w:val="en-US" w:eastAsia="zh-CN"/>
                                </w:rPr>
                                <w:t>125</w:t>
                              </w:r>
                            </w:p>
                          </w:txbxContent>
                        </v:textbox>
                      </v:shape>
                      <v:shape id="自选图形 595" o:spid="_x0000_s1026" o:spt="32" type="#_x0000_t32" style="position:absolute;left:1021080;top:1564354;height:635;width:68580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10;+whx2QAAAAgBAAAPAAAAAAAAAAEAIAAAACIAAABkcnMvZG93bnJldi54bWxQSwECFAAUAAAACACH&#10;TuJAnIvXCSMCAAAfBAAADgAAAAAAAAABACAAAAAoAQAAZHJzL2Uyb0RvYy54bWxQSwUGAAAAAAYA&#10;BgBZAQAAvQUAAAAA&#10;">
                        <v:fill on="f" focussize="0,0"/>
                        <v:stroke color="#000000" joinstyle="round" endarrow="block"/>
                        <v:imagedata o:title=""/>
                        <o:lock v:ext="edit" aspectratio="f"/>
                      </v:shape>
                      <v:shape id="文本框 596" o:spid="_x0000_s1026" o:spt="202" type="#_x0000_t202" style="position:absolute;left:1154430;top:1354757;height:209597;width:46037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GbdTPWAAAACAEAAA8AAAAA&#10;AAAAAQAgAAAAIgAAAGRycy9kb3ducmV2LnhtbFBLAQIUABQAAAAIAIdO4kBovf3f3QEAAKwDAAAO&#10;AAAAAAAAAAEAIAAAACUBAABkcnMvZTJvRG9jLnhtbFBLBQYAAAAABgAGAFkBAAB0BQAAAAA=&#10;">
                        <v:fill on="f" focussize="0,0"/>
                        <v:stroke on="f"/>
                        <v:imagedata o:title=""/>
                        <o:lock v:ext="edit" aspectratio="f"/>
                        <v:textbox inset="0.5mm,0.3mm,0.5mm,0.3mm">
                          <w:txbxContent>
                            <w:p>
                              <w:pPr>
                                <w:rPr>
                                  <w:rFonts w:hint="default" w:ascii="Times New Roman" w:hAnsi="Times New Roman" w:cs="Times New Roman"/>
                                </w:rPr>
                              </w:pPr>
                              <w:r>
                                <w:rPr>
                                  <w:rFonts w:hint="default" w:ascii="Times New Roman" w:hAnsi="Times New Roman" w:cs="Times New Roman"/>
                                  <w:lang w:val="en-US" w:eastAsia="zh-CN"/>
                                </w:rPr>
                                <w:t>20</w:t>
                              </w:r>
                              <w:r>
                                <w:rPr>
                                  <w:rFonts w:hint="default" w:ascii="Times New Roman" w:hAnsi="Times New Roman" w:cs="Times New Roman"/>
                                </w:rPr>
                                <w:t>000</w:t>
                              </w:r>
                            </w:p>
                          </w:txbxContent>
                        </v:textbox>
                      </v:shape>
                      <v:shape id="自选图形 597" o:spid="_x0000_s1026" o:spt="32" type="#_x0000_t32" style="position:absolute;left:1021080;top:2093427;height:635;width:68580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10;CHHZAAAACAEAAA8AAAAAAAAAAQAgAAAAIgAAAGRycy9kb3ducmV2LnhtbFBLAQIUABQAAAAIAIdO&#10;4kCZdLxGIgIAAB8EAAAOAAAAAAAAAAEAIAAAACgBAABkcnMvZTJvRG9jLnhtbFBLBQYAAAAABgAG&#10;AFkBAAC8BQAAAAA=&#10;">
                        <v:fill on="f" focussize="0,0"/>
                        <v:stroke color="#000000" joinstyle="round" endarrow="block"/>
                        <v:imagedata o:title=""/>
                        <o:lock v:ext="edit" aspectratio="f"/>
                      </v:shape>
                      <v:shape id="文本框 598" o:spid="_x0000_s1026" o:spt="202" type="#_x0000_t202" style="position:absolute;left:1154430;top:1883831;height:209597;width:46037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Zt1M9YAAAAIAQAADwAAAAAA&#10;AAABACAAAAAiAAAAZHJzL2Rvd25yZXYueG1sUEsBAhQAFAAAAAgAh07iQAOikrfcAQAArA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eastAsia="宋体" w:cs="Times New Roman"/>
                                  <w:lang w:eastAsia="zh-CN"/>
                                </w:rPr>
                              </w:pPr>
                              <w:r>
                                <w:rPr>
                                  <w:rFonts w:hint="default" w:ascii="Times New Roman" w:hAnsi="Times New Roman" w:cs="Times New Roman"/>
                                  <w:lang w:val="en-US" w:eastAsia="zh-CN"/>
                                </w:rPr>
                                <w:t>16</w:t>
                              </w:r>
                              <w:r>
                                <w:rPr>
                                  <w:rFonts w:hint="default" w:ascii="Times New Roman" w:hAnsi="Times New Roman" w:cs="Times New Roman"/>
                                  <w:lang w:eastAsia="zh-CN"/>
                                </w:rPr>
                                <w:t>500</w:t>
                              </w:r>
                            </w:p>
                          </w:txbxContent>
                        </v:textbox>
                      </v:shape>
                      <v:shape id="自选图形 599" o:spid="_x0000_s1026" o:spt="32" type="#_x0000_t32" style="position:absolute;left:1706245;top:404495;height:2682240;width:3810;" filled="f" stroked="t" coordsize="21600,21600" o:gfxdata="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T50wY1wAA&#10;AAgBAAAPAAAAAAAAAAEAIAAAACIAAABkcnMvZG93bnJldi54bWxQSwECFAAUAAAACACHTuJAhhT6&#10;Kx8CAAAcBAAADgAAAAAAAAABACAAAAAmAQAAZHJzL2Uyb0RvYy54bWxQSwUGAAAAAAYABgBZAQAA&#10;twUAAAAA&#10;">
                        <v:fill on="f" focussize="0,0"/>
                        <v:stroke color="#000000" joinstyle="round"/>
                        <v:imagedata o:title=""/>
                        <o:lock v:ext="edit" aspectratio="f"/>
                      </v:shape>
                      <v:shape id="自选图形 600" o:spid="_x0000_s1026" o:spt="32" type="#_x0000_t32" style="position:absolute;left:1706880;top:1235986;height:635;width:97917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whx2QAA&#10;AAgBAAAPAAAAAAAAAAEAIAAAACIAAABkcnMvZG93bnJldi54bWxQSwECFAAUAAAACACHTuJAf4Co&#10;/R0CAAAfBAAADgAAAAAAAAABACAAAAAoAQAAZHJzL2Uyb0RvYy54bWxQSwUGAAAAAAYABgBZAQAA&#10;twUAAAAA&#10;">
                        <v:fill on="f" focussize="0,0"/>
                        <v:stroke color="#000000" joinstyle="round" endarrow="block"/>
                        <v:imagedata o:title=""/>
                        <o:lock v:ext="edit" aspectratio="f"/>
                      </v:shape>
                      <v:shape id="文本框 601" o:spid="_x0000_s1026" o:spt="202" type="#_x0000_t202" style="position:absolute;left:2000250;top:1026389;height:209597;width:636270;"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Zt1M9YAAAAIAQAADwAAAAAA&#10;AAABACAAAAAiAAAAZHJzL2Rvd25yZXYueG1sUEsBAhQAFAAAAAgAh07iQBfenaTcAQAArA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cs="Times New Roman"/>
                                </w:rPr>
                              </w:pPr>
                              <w:r>
                                <w:rPr>
                                  <w:rFonts w:hint="default" w:ascii="Times New Roman" w:hAnsi="Times New Roman" w:cs="Times New Roman"/>
                                  <w:lang w:val="en-US" w:eastAsia="zh-CN"/>
                                </w:rPr>
                                <w:t>5025</w:t>
                              </w:r>
                              <w:r>
                                <w:rPr>
                                  <w:rFonts w:hint="default" w:ascii="Times New Roman" w:hAnsi="Times New Roman" w:cs="Times New Roman"/>
                                </w:rPr>
                                <w:t>0</w:t>
                              </w:r>
                            </w:p>
                          </w:txbxContent>
                        </v:textbox>
                      </v:shape>
                      <v:shape id="文本框 602" o:spid="_x0000_s1026" o:spt="202" type="#_x0000_t202" style="position:absolute;left:2684780;top:1026389;height:208327;width:71564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xm3Uz1gAAAAgBAAAPAAAA&#10;AAAAAAEAIAAAACIAAABkcnMvZG93bnJldi54bWxQSwECFAAUAAAACACHTuJAnOTS694BAACsAwAA&#10;DgAAAAAAAAABACAAAAAlAQAAZHJzL2Uyb0RvYy54bWxQSwUGAAAAAAYABgBZAQAAdQUAAAAA&#10;">
                        <v:fill on="f" focussize="0,0"/>
                        <v:stroke on="f"/>
                        <v:imagedata o:title=""/>
                        <o:lock v:ext="edit" aspectratio="f"/>
                        <v:textbox inset="0.5mm,0.3mm,0.5mm,0.3mm">
                          <w:txbxContent>
                            <w:p>
                              <w:pPr>
                                <w:ind w:firstLine="105" w:firstLineChars="50"/>
                                <w:jc w:val="center"/>
                                <w:rPr>
                                  <w:rFonts w:hint="default" w:eastAsia="黑体"/>
                                  <w:bCs/>
                                  <w:lang w:val="en-US" w:eastAsia="zh-CN"/>
                                </w:rPr>
                              </w:pPr>
                              <w:r>
                                <w:rPr>
                                  <w:rFonts w:hint="eastAsia" w:eastAsia="黑体"/>
                                  <w:bCs/>
                                  <w:lang w:val="en-US" w:eastAsia="zh-CN"/>
                                </w:rPr>
                                <w:t>100</w:t>
                              </w:r>
                            </w:p>
                          </w:txbxContent>
                        </v:textbox>
                      </v:shape>
                      <v:shape id="自选图形 603" o:spid="_x0000_s1026" o:spt="32" type="#_x0000_t32" style="position:absolute;left:2693035;top:1236621;height:635;width:835025;"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whx&#10;2QAAAAgBAAAPAAAAAAAAAAEAIAAAACIAAABkcnMvZG93bnJldi54bWxQSwECFAAUAAAACACHTuJA&#10;SHTzryACAAAfBAAADgAAAAAAAAABACAAAAAoAQAAZHJzL2Uyb0RvYy54bWxQSwUGAAAAAAYABgBZ&#10;AQAAugUAAAAA&#10;">
                        <v:fill on="f" focussize="0,0"/>
                        <v:stroke color="#000000" joinstyle="round" endarrow="block"/>
                        <v:imagedata o:title=""/>
                        <o:lock v:ext="edit" aspectratio="f"/>
                      </v:shape>
                      <v:shape id="文本框 604" o:spid="_x0000_s1026" o:spt="202" type="#_x0000_t202" style="position:absolute;left:3528060;top:1091174;height:305503;width:913765;"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ZTGCtUAAAAIAQAADwAAAAAAAAABACAAAAAiAAAAZHJzL2Rvd25y&#10;ZXYueG1sUEsBAhQAFAAAAAgAh07iQAa2fuE6AgAAawQAAA4AAAAAAAAAAQAgAAAAJAEAAGRycy9l&#10;Mm9Eb2MueG1sUEsFBgAAAAAGAAYAWQEAANAFAAAAAA==&#10;">
                        <v:fill on="f" focussize="0,0"/>
                        <v:stroke color="#000000" joinstyle="miter"/>
                        <v:imagedata o:title=""/>
                        <o:lock v:ext="edit" aspectratio="f"/>
                        <v:textbox inset="0.5mm,1.3mm,0.5mm,0.3mm">
                          <w:txbxContent>
                            <w:p>
                              <w:pPr>
                                <w:ind w:firstLine="105" w:firstLineChars="50"/>
                                <w:rPr>
                                  <w:rFonts w:hint="eastAsia" w:ascii="宋体" w:hAnsi="宋体" w:cs="宋体"/>
                                  <w:bCs/>
                                </w:rPr>
                              </w:pPr>
                              <w:r>
                                <w:rPr>
                                  <w:rFonts w:hint="eastAsia" w:ascii="宋体" w:hAnsi="宋体" w:cs="宋体"/>
                                  <w:bCs/>
                                </w:rPr>
                                <w:t>不合格干坯</w:t>
                              </w:r>
                            </w:p>
                          </w:txbxContent>
                        </v:textbox>
                      </v:shape>
                      <v:shape id="自选图形 605" o:spid="_x0000_s1026" o:spt="32" type="#_x0000_t32" style="position:absolute;left:4441825;top:1237256;height:1270;width:29718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10;+whx2QAAAAgBAAAPAAAAAAAAAAEAIAAAACIAAABkcnMvZG93bnJldi54bWxQSwECFAAUAAAACACH&#10;TuJATRfORSMCAAAgBAAADgAAAAAAAAABACAAAAAoAQAAZHJzL2Uyb0RvYy54bWxQSwUGAAAAAAYA&#10;BgBZAQAAvQUAAAAA&#10;">
                        <v:fill on="f" focussize="0,0"/>
                        <v:stroke color="#000000" joinstyle="round" endarrow="block"/>
                        <v:imagedata o:title=""/>
                        <o:lock v:ext="edit" aspectratio="f"/>
                      </v:shape>
                      <v:shape id="文本框 606" o:spid="_x0000_s1026" o:spt="202" type="#_x0000_t202" style="position:absolute;left:4746625;top:1140080;height:210232;width:821055;"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GbdTPWAAAACAEAAA8AAAAAAAAA&#10;AQAgAAAAIgAAAGRycy9kb3ducmV2LnhtbFBLAQIUABQAAAAIAIdO4kDQckii2gEAAKwDAAAOAAAA&#10;AAAAAAEAIAAAACUBAABkcnMvZTJvRG9jLnhtbFBLBQYAAAAABgAGAFkBAABxBQAAAAA=&#10;">
                        <v:fill on="f" focussize="0,0"/>
                        <v:stroke on="f"/>
                        <v:imagedata o:title=""/>
                        <o:lock v:ext="edit" aspectratio="f"/>
                        <v:textbox inset="0.5mm,0.3mm,0.5mm,0.3mm">
                          <w:txbxContent>
                            <w:p>
                              <w:pPr>
                                <w:ind w:firstLine="105" w:firstLineChars="50"/>
                                <w:rPr>
                                  <w:rFonts w:hint="eastAsia" w:ascii="宋体" w:hAnsi="宋体" w:cs="宋体"/>
                                  <w:bCs/>
                                </w:rPr>
                              </w:pPr>
                              <w:r>
                                <w:rPr>
                                  <w:rFonts w:hint="eastAsia" w:ascii="宋体" w:hAnsi="宋体" w:cs="宋体"/>
                                  <w:bCs/>
                                </w:rPr>
                                <w:t>随产品出售</w:t>
                              </w:r>
                            </w:p>
                          </w:txbxContent>
                        </v:textbox>
                      </v:shape>
                      <v:shape id="文本框 660" o:spid="_x0000_s1026" o:spt="202" type="#_x0000_t202" style="position:absolute;left:321310;top:2470066;height:304868;width:698500;"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WUxgrVAAAACAEAAA8AAAAAAAAAAQAgAAAAIgAAAGRycy9kb3ducmV2&#10;LnhtbFBLAQIUABQAAAAIAIdO4kAzxDDAOAIAAGoEAAAOAAAAAAAAAAEAIAAAACQBAABkcnMvZTJv&#10;RG9jLnhtbFBLBQYAAAAABgAGAFkBAADOBQAAAAA=&#10;">
                        <v:fill on="f" focussize="0,0"/>
                        <v:stroke color="#000000" joinstyle="miter"/>
                        <v:imagedata o:title=""/>
                        <o:lock v:ext="edit" aspectratio="f"/>
                        <v:textbox inset="0.5mm,1.3mm,0.5mm,0.3mm">
                          <w:txbxContent>
                            <w:p>
                              <w:pPr>
                                <w:jc w:val="center"/>
                                <w:rPr>
                                  <w:rFonts w:hint="eastAsia"/>
                                </w:rPr>
                              </w:pPr>
                              <w:r>
                                <w:rPr>
                                  <w:rFonts w:hint="eastAsia"/>
                                </w:rPr>
                                <w:t>颜料</w:t>
                              </w:r>
                            </w:p>
                          </w:txbxContent>
                        </v:textbox>
                      </v:shape>
                      <v:shape id="自选图形 661" o:spid="_x0000_s1026" o:spt="32" type="#_x0000_t32" style="position:absolute;left:1021080;top:2616784;height:0;width:68580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sI&#10;cdkAAAAIAQAADwAAAAAAAAABACAAAAAiAAAAZHJzL2Rvd25yZXYueG1sUEsBAhQAFAAAAAgAh07i&#10;QJ64YFshAgAAHQQAAA4AAAAAAAAAAQAgAAAAKAEAAGRycy9lMm9Eb2MueG1sUEsFBgAAAAAGAAYA&#10;WQEAALsFAAAAAA==&#10;">
                        <v:fill on="f" focussize="0,0"/>
                        <v:stroke color="#000000" joinstyle="round" endarrow="block"/>
                        <v:imagedata o:title=""/>
                        <o:lock v:ext="edit" aspectratio="f"/>
                      </v:shape>
                      <v:shape id="文本框 662" o:spid="_x0000_s1026" o:spt="202" type="#_x0000_t202" style="position:absolute;left:1148080;top:2413539;height:203245;width:457200;"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Zt1M9YAAAAIAQAADwAAAAAA&#10;AAABACAAAAAiAAAAZHJzL2Rvd25yZXYueG1sUEsBAhQAFAAAAAgAh07iQGdfqljcAQAArA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eastAsia="宋体"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25</w:t>
                              </w:r>
                            </w:p>
                          </w:txbxContent>
                        </v:textbox>
                      </v:shape>
                      <v:shape id="文本框 583" o:spid="_x0000_s1026" o:spt="202" type="#_x0000_t202" style="position:absolute;left:321310;top:2945765;height:305435;width:699770;" filled="f" stroked="t" coordsize="21600,21600" o:gfxdata="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llMYK1QAAAAgBAAAPAAAAAAAAAAEAIAAAACIAAABkcnMvZG93&#10;bnJldi54bWxQSwECFAAUAAAACACHTuJASNOhXTwCAABrBAAADgAAAAAAAAABACAAAAAkAQAAZHJz&#10;L2Uyb0RvYy54bWxQSwUGAAAAAAYABgBZAQAA0gUAAAAA&#10;">
                        <v:fill on="f" focussize="0,0"/>
                        <v:stroke color="#000000" joinstyle="miter"/>
                        <v:imagedata o:title=""/>
                        <o:lock v:ext="edit" aspectratio="f"/>
                        <v:textbox inset="0.5mm,1.3mm,0.5mm,0.3mm">
                          <w:txbxContent>
                            <w:p>
                              <w:pPr>
                                <w:jc w:val="center"/>
                                <w:rPr>
                                  <w:rFonts w:hint="eastAsia" w:eastAsia="宋体"/>
                                  <w:lang w:eastAsia="zh-CN"/>
                                </w:rPr>
                              </w:pPr>
                              <w:r>
                                <w:rPr>
                                  <w:rFonts w:hint="eastAsia"/>
                                  <w:lang w:eastAsia="zh-CN"/>
                                </w:rPr>
                                <w:t>粉煤灰</w:t>
                              </w:r>
                            </w:p>
                          </w:txbxContent>
                        </v:textbox>
                      </v:shape>
                      <v:shape id="自选图形 661" o:spid="_x0000_s1026" o:spt="32" type="#_x0000_t32" style="position:absolute;left:1042670;top:3093085;height:0;width:685800;" filled="f" stroked="t" coordsize="21600,21600" o:gfxdata="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10;+whx2QAAAAgBAAAPAAAAAAAAAAEAIAAAACIAAABkcnMvZG93bnJldi54bWxQSwECFAAUAAAACACH&#10;TuJA0C49qiMCAAAeBAAADgAAAAAAAAABACAAAAAoAQAAZHJzL2Uyb0RvYy54bWxQSwUGAAAAAAYA&#10;BgBZAQAAvQUAAAAA&#10;">
                        <v:fill on="f" focussize="0,0"/>
                        <v:stroke color="#000000" joinstyle="round" endarrow="block"/>
                        <v:imagedata o:title=""/>
                        <o:lock v:ext="edit" aspectratio="f"/>
                      </v:shape>
                      <v:shape id="文本框 662" o:spid="_x0000_s1026" o:spt="202" type="#_x0000_t202" style="position:absolute;left:1169670;top:2889885;height:203200;width:457200;" filled="f" stroked="f" coordsize="21600,21600" o:gfxdata="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Zt1M9YAAAAIAQAADwAAAAAA&#10;AAABACAAAAAiAAAAZHJzL2Rvd25yZXYueG1sUEsBAhQAFAAAAAgAh07iQCDMtiLcAQAArQ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cs="Times New Roman"/>
                                </w:rPr>
                              </w:pPr>
                              <w:r>
                                <w:rPr>
                                  <w:rFonts w:hint="default" w:ascii="Times New Roman" w:hAnsi="Times New Roman" w:cs="Times New Roman"/>
                                  <w:lang w:val="en-US" w:eastAsia="zh-CN"/>
                                </w:rPr>
                                <w:t>60</w:t>
                              </w:r>
                              <w:r>
                                <w:rPr>
                                  <w:rFonts w:hint="default" w:ascii="Times New Roman" w:hAnsi="Times New Roman" w:cs="Times New Roman"/>
                                </w:rPr>
                                <w:t>00</w:t>
                              </w:r>
                            </w:p>
                          </w:txbxContent>
                        </v:textbox>
                      </v:shape>
                      <w10:wrap type="topAndBottom"/>
                    </v:group>
                  </w:pict>
                </mc:Fallback>
              </mc:AlternateContent>
            </w:r>
            <w:r>
              <w:rPr>
                <w:rFonts w:eastAsia="黑体"/>
                <w:b/>
                <w:bCs/>
                <w:color w:val="auto"/>
                <w:sz w:val="24"/>
                <w:u w:val="single"/>
              </w:rPr>
              <w:t>图</w:t>
            </w:r>
            <w:r>
              <w:rPr>
                <w:rFonts w:hint="eastAsia" w:eastAsia="黑体"/>
                <w:b/>
                <w:bCs/>
                <w:color w:val="auto"/>
                <w:sz w:val="24"/>
                <w:u w:val="single"/>
              </w:rPr>
              <w:t>3</w:t>
            </w:r>
            <w:r>
              <w:rPr>
                <w:rFonts w:eastAsia="黑体"/>
                <w:b/>
                <w:bCs/>
                <w:sz w:val="24"/>
                <w:u w:val="single"/>
              </w:rPr>
              <w:t xml:space="preserve">  本项目物料平衡图    </w:t>
            </w:r>
            <w:r>
              <w:rPr>
                <w:b/>
                <w:bCs/>
                <w:szCs w:val="21"/>
                <w:u w:val="single"/>
              </w:rPr>
              <w:t>单位：t/a</w:t>
            </w:r>
          </w:p>
          <w:p>
            <w:pPr>
              <w:spacing w:line="520" w:lineRule="exact"/>
              <w:rPr>
                <w:sz w:val="24"/>
              </w:rPr>
            </w:pPr>
          </w:p>
        </w:tc>
      </w:tr>
    </w:tbl>
    <w:p>
      <w:pPr>
        <w:spacing w:line="360" w:lineRule="auto"/>
        <w:rPr>
          <w:sz w:val="28"/>
        </w:rPr>
        <w:sectPr>
          <w:pgSz w:w="11906" w:h="16838"/>
          <w:pgMar w:top="1721" w:right="1588" w:bottom="1746"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项目主要污染物产生及预计排放情况</w:t>
      </w:r>
    </w:p>
    <w:tbl>
      <w:tblPr>
        <w:tblStyle w:val="32"/>
        <w:tblW w:w="911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76"/>
        <w:gridCol w:w="506"/>
        <w:gridCol w:w="1301"/>
        <w:gridCol w:w="1678"/>
        <w:gridCol w:w="2263"/>
        <w:gridCol w:w="239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68" w:hRule="atLeast"/>
          <w:jc w:val="center"/>
        </w:trPr>
        <w:tc>
          <w:tcPr>
            <w:tcW w:w="976" w:type="dxa"/>
            <w:tcBorders>
              <w:top w:val="single" w:color="000000" w:sz="4" w:space="0"/>
              <w:left w:val="single" w:color="000000" w:sz="4" w:space="0"/>
              <w:bottom w:val="single" w:color="000000" w:sz="4" w:space="0"/>
              <w:right w:val="single" w:color="000000" w:sz="4" w:space="0"/>
              <w:tl2br w:val="single" w:color="000000" w:sz="4" w:space="0"/>
            </w:tcBorders>
            <w:noWrap/>
            <w:vAlign w:val="center"/>
          </w:tcPr>
          <w:p>
            <w:pPr>
              <w:spacing w:line="440" w:lineRule="exact"/>
              <w:jc w:val="center"/>
              <w:rPr>
                <w:b/>
                <w:sz w:val="24"/>
              </w:rPr>
            </w:pPr>
            <w:r>
              <w:rPr>
                <w:b/>
                <w:sz w:val="24"/>
              </w:rPr>
              <w:t xml:space="preserve">  内容</w:t>
            </w:r>
          </w:p>
          <w:p>
            <w:pPr>
              <w:spacing w:line="440" w:lineRule="exact"/>
              <w:rPr>
                <w:b/>
                <w:sz w:val="24"/>
              </w:rPr>
            </w:pPr>
            <w:r>
              <w:rPr>
                <w:b/>
                <w:sz w:val="24"/>
              </w:rPr>
              <w:t>类别</w:t>
            </w: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b/>
                <w:sz w:val="24"/>
              </w:rPr>
            </w:pPr>
            <w:r>
              <w:rPr>
                <w:b/>
                <w:sz w:val="24"/>
              </w:rPr>
              <w:t>排放源</w:t>
            </w:r>
          </w:p>
          <w:p>
            <w:pPr>
              <w:spacing w:line="440" w:lineRule="exact"/>
              <w:jc w:val="center"/>
              <w:rPr>
                <w:b/>
                <w:sz w:val="24"/>
              </w:rPr>
            </w:pPr>
            <w:r>
              <w:rPr>
                <w:b/>
                <w:sz w:val="24"/>
              </w:rPr>
              <w:t>（编号）</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b/>
                <w:sz w:val="24"/>
              </w:rPr>
            </w:pPr>
            <w:r>
              <w:rPr>
                <w:b/>
                <w:sz w:val="24"/>
              </w:rPr>
              <w:t>污染物名称</w:t>
            </w:r>
          </w:p>
        </w:tc>
        <w:tc>
          <w:tcPr>
            <w:tcW w:w="2263" w:type="dxa"/>
            <w:tcBorders>
              <w:top w:val="single" w:color="000000" w:sz="4" w:space="0"/>
              <w:left w:val="single" w:color="000000" w:sz="4" w:space="0"/>
              <w:right w:val="single" w:color="000000" w:sz="4" w:space="0"/>
            </w:tcBorders>
            <w:noWrap/>
            <w:vAlign w:val="center"/>
          </w:tcPr>
          <w:p>
            <w:pPr>
              <w:spacing w:line="440" w:lineRule="exact"/>
              <w:jc w:val="center"/>
              <w:rPr>
                <w:b/>
                <w:sz w:val="24"/>
              </w:rPr>
            </w:pPr>
            <w:r>
              <w:rPr>
                <w:b/>
                <w:sz w:val="24"/>
              </w:rPr>
              <w:t>处理前产生情况</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b/>
                <w:sz w:val="24"/>
              </w:rPr>
            </w:pPr>
            <w:r>
              <w:rPr>
                <w:b/>
                <w:sz w:val="24"/>
              </w:rPr>
              <w:t>排放情况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restart"/>
            <w:tcBorders>
              <w:top w:val="single" w:color="000000" w:sz="4" w:space="0"/>
              <w:left w:val="single" w:color="000000" w:sz="4" w:space="0"/>
              <w:right w:val="single" w:color="000000" w:sz="4" w:space="0"/>
            </w:tcBorders>
            <w:noWrap/>
            <w:vAlign w:val="center"/>
          </w:tcPr>
          <w:p>
            <w:pPr>
              <w:spacing w:line="360" w:lineRule="exact"/>
              <w:jc w:val="center"/>
              <w:rPr>
                <w:b/>
                <w:sz w:val="24"/>
              </w:rPr>
            </w:pPr>
            <w:r>
              <w:rPr>
                <w:b/>
                <w:sz w:val="24"/>
              </w:rPr>
              <w:t>大</w:t>
            </w:r>
          </w:p>
          <w:p>
            <w:pPr>
              <w:spacing w:line="360" w:lineRule="exact"/>
              <w:jc w:val="center"/>
              <w:rPr>
                <w:b/>
                <w:sz w:val="24"/>
              </w:rPr>
            </w:pPr>
            <w:r>
              <w:rPr>
                <w:b/>
                <w:sz w:val="24"/>
              </w:rPr>
              <w:t>气</w:t>
            </w:r>
          </w:p>
          <w:p>
            <w:pPr>
              <w:spacing w:line="360" w:lineRule="exact"/>
              <w:jc w:val="center"/>
              <w:rPr>
                <w:b/>
                <w:sz w:val="24"/>
              </w:rPr>
            </w:pPr>
            <w:r>
              <w:rPr>
                <w:b/>
                <w:sz w:val="24"/>
              </w:rPr>
              <w:t>污</w:t>
            </w:r>
          </w:p>
          <w:p>
            <w:pPr>
              <w:spacing w:line="360" w:lineRule="exact"/>
              <w:jc w:val="center"/>
              <w:rPr>
                <w:b/>
                <w:sz w:val="24"/>
              </w:rPr>
            </w:pPr>
            <w:r>
              <w:rPr>
                <w:b/>
                <w:sz w:val="24"/>
              </w:rPr>
              <w:t>染</w:t>
            </w:r>
          </w:p>
          <w:p>
            <w:pPr>
              <w:spacing w:line="360" w:lineRule="exact"/>
              <w:jc w:val="center"/>
              <w:rPr>
                <w:b/>
                <w:sz w:val="24"/>
              </w:rPr>
            </w:pPr>
            <w:r>
              <w:rPr>
                <w:b/>
                <w:sz w:val="24"/>
              </w:rPr>
              <w:t>物</w:t>
            </w:r>
          </w:p>
        </w:tc>
        <w:tc>
          <w:tcPr>
            <w:tcW w:w="506" w:type="dxa"/>
            <w:vMerge w:val="restart"/>
            <w:tcBorders>
              <w:top w:val="single" w:color="000000" w:sz="4" w:space="0"/>
              <w:left w:val="single" w:color="000000" w:sz="4" w:space="0"/>
              <w:right w:val="single" w:color="000000" w:sz="4" w:space="0"/>
            </w:tcBorders>
            <w:noWrap/>
            <w:vAlign w:val="center"/>
          </w:tcPr>
          <w:p>
            <w:pPr>
              <w:pStyle w:val="22"/>
              <w:jc w:val="center"/>
              <w:rPr>
                <w:sz w:val="21"/>
                <w:szCs w:val="21"/>
              </w:rPr>
            </w:pPr>
            <w:r>
              <w:rPr>
                <w:sz w:val="21"/>
                <w:szCs w:val="21"/>
              </w:rPr>
              <w:t>有组织</w:t>
            </w: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color w:val="auto"/>
                <w:sz w:val="21"/>
                <w:szCs w:val="21"/>
              </w:rPr>
            </w:pPr>
            <w:r>
              <w:rPr>
                <w:color w:val="auto"/>
                <w:sz w:val="21"/>
                <w:szCs w:val="21"/>
              </w:rPr>
              <w:t>水泥罐</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hint="eastAsia" w:eastAsia="宋体"/>
                <w:color w:val="auto"/>
                <w:szCs w:val="21"/>
                <w:lang w:eastAsia="zh-CN"/>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color w:val="auto"/>
                <w:szCs w:val="21"/>
              </w:rPr>
            </w:pPr>
            <w:r>
              <w:rPr>
                <w:color w:val="auto"/>
                <w:spacing w:val="-6"/>
                <w:szCs w:val="21"/>
              </w:rPr>
              <w:t>8000mg/m</w:t>
            </w:r>
            <w:r>
              <w:rPr>
                <w:color w:val="auto"/>
                <w:spacing w:val="-6"/>
                <w:szCs w:val="21"/>
                <w:vertAlign w:val="superscript"/>
              </w:rPr>
              <w:t>3</w:t>
            </w:r>
            <w:r>
              <w:rPr>
                <w:color w:val="auto"/>
                <w:spacing w:val="-6"/>
                <w:szCs w:val="21"/>
              </w:rPr>
              <w:t>、</w:t>
            </w:r>
            <w:r>
              <w:rPr>
                <w:rFonts w:hint="eastAsia"/>
                <w:color w:val="auto"/>
                <w:spacing w:val="-6"/>
                <w:szCs w:val="21"/>
                <w:lang w:val="en-US" w:eastAsia="zh-CN"/>
              </w:rPr>
              <w:t>4</w:t>
            </w:r>
            <w:r>
              <w:rPr>
                <w:rFonts w:hint="eastAsia"/>
                <w:color w:val="auto"/>
                <w:spacing w:val="-6"/>
                <w:szCs w:val="21"/>
              </w:rPr>
              <w:t>.0</w:t>
            </w:r>
            <w:r>
              <w:rPr>
                <w:color w:val="auto"/>
                <w:spacing w:val="-6"/>
                <w:szCs w:val="21"/>
              </w:rPr>
              <w:t>t/a</w:t>
            </w:r>
          </w:p>
        </w:tc>
        <w:tc>
          <w:tcPr>
            <w:tcW w:w="2392" w:type="dxa"/>
            <w:vMerge w:val="restart"/>
            <w:tcBorders>
              <w:top w:val="single" w:color="000000" w:sz="4" w:space="0"/>
              <w:left w:val="single" w:color="000000" w:sz="4" w:space="0"/>
              <w:right w:val="single" w:color="000000" w:sz="4" w:space="0"/>
            </w:tcBorders>
            <w:noWrap/>
            <w:vAlign w:val="center"/>
          </w:tcPr>
          <w:p>
            <w:pPr>
              <w:spacing w:line="276" w:lineRule="auto"/>
              <w:jc w:val="center"/>
              <w:rPr>
                <w:spacing w:val="-6"/>
                <w:szCs w:val="21"/>
              </w:rPr>
            </w:pPr>
            <w:r>
              <w:rPr>
                <w:rFonts w:hint="eastAsia"/>
                <w:spacing w:val="-6"/>
                <w:szCs w:val="21"/>
                <w:lang w:val="en-US" w:eastAsia="zh-CN"/>
              </w:rPr>
              <w:t>7.5</w:t>
            </w:r>
            <w:r>
              <w:rPr>
                <w:spacing w:val="-6"/>
                <w:szCs w:val="21"/>
              </w:rPr>
              <w:t>mg/m</w:t>
            </w:r>
            <w:r>
              <w:rPr>
                <w:spacing w:val="-6"/>
                <w:szCs w:val="21"/>
                <w:vertAlign w:val="superscript"/>
              </w:rPr>
              <w:t>3</w:t>
            </w:r>
            <w:r>
              <w:rPr>
                <w:spacing w:val="-6"/>
                <w:szCs w:val="21"/>
              </w:rPr>
              <w:t>、</w:t>
            </w:r>
            <w:r>
              <w:rPr>
                <w:rFonts w:hint="eastAsia"/>
                <w:spacing w:val="-6"/>
                <w:szCs w:val="21"/>
                <w:lang w:val="en-US" w:eastAsia="zh-CN"/>
              </w:rPr>
              <w:t>0.181</w:t>
            </w:r>
            <w:r>
              <w:rPr>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right w:val="single" w:color="000000" w:sz="4" w:space="0"/>
            </w:tcBorders>
            <w:noWrap/>
            <w:vAlign w:val="center"/>
          </w:tcPr>
          <w:p>
            <w:pPr>
              <w:pStyle w:val="22"/>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rFonts w:hint="eastAsia" w:eastAsia="宋体"/>
                <w:color w:val="auto"/>
                <w:sz w:val="21"/>
                <w:szCs w:val="21"/>
                <w:lang w:eastAsia="zh-CN"/>
              </w:rPr>
            </w:pPr>
            <w:r>
              <w:rPr>
                <w:rFonts w:hint="eastAsia"/>
                <w:color w:val="auto"/>
                <w:sz w:val="21"/>
                <w:szCs w:val="21"/>
                <w:lang w:eastAsia="zh-CN"/>
              </w:rPr>
              <w:t>粉煤灰</w:t>
            </w:r>
            <w:r>
              <w:rPr>
                <w:color w:val="auto"/>
                <w:sz w:val="21"/>
                <w:szCs w:val="21"/>
              </w:rPr>
              <w:t>罐</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hint="eastAsia" w:eastAsia="宋体"/>
                <w:color w:val="auto"/>
                <w:szCs w:val="21"/>
                <w:lang w:eastAsia="zh-CN"/>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ascii="Times New Roman" w:hAnsi="Times New Roman" w:eastAsia="宋体" w:cs="Times New Roman"/>
                <w:color w:val="auto"/>
                <w:kern w:val="2"/>
                <w:sz w:val="21"/>
                <w:szCs w:val="21"/>
                <w:lang w:val="en-US" w:eastAsia="zh-CN" w:bidi="ar-SA"/>
              </w:rPr>
            </w:pPr>
            <w:r>
              <w:rPr>
                <w:color w:val="auto"/>
                <w:spacing w:val="-6"/>
                <w:szCs w:val="21"/>
              </w:rPr>
              <w:t>8000mg/m</w:t>
            </w:r>
            <w:r>
              <w:rPr>
                <w:color w:val="auto"/>
                <w:spacing w:val="-6"/>
                <w:szCs w:val="21"/>
                <w:vertAlign w:val="superscript"/>
              </w:rPr>
              <w:t>3</w:t>
            </w:r>
            <w:r>
              <w:rPr>
                <w:color w:val="auto"/>
                <w:spacing w:val="-6"/>
                <w:szCs w:val="21"/>
              </w:rPr>
              <w:t>、</w:t>
            </w:r>
            <w:r>
              <w:rPr>
                <w:rFonts w:hint="eastAsia"/>
                <w:color w:val="auto"/>
                <w:spacing w:val="-6"/>
                <w:szCs w:val="21"/>
              </w:rPr>
              <w:t>3.</w:t>
            </w:r>
            <w:r>
              <w:rPr>
                <w:rFonts w:hint="eastAsia"/>
                <w:color w:val="auto"/>
                <w:spacing w:val="-6"/>
                <w:szCs w:val="21"/>
                <w:lang w:val="en-US" w:eastAsia="zh-CN"/>
              </w:rPr>
              <w:t>2</w:t>
            </w:r>
            <w:r>
              <w:rPr>
                <w:color w:val="auto"/>
                <w:spacing w:val="-6"/>
                <w:szCs w:val="21"/>
              </w:rPr>
              <w:t>t/a</w:t>
            </w:r>
          </w:p>
        </w:tc>
        <w:tc>
          <w:tcPr>
            <w:tcW w:w="2392" w:type="dxa"/>
            <w:vMerge w:val="continue"/>
            <w:tcBorders>
              <w:left w:val="single" w:color="000000" w:sz="4" w:space="0"/>
              <w:right w:val="single" w:color="000000" w:sz="4" w:space="0"/>
            </w:tcBorders>
            <w:noWrap/>
            <w:vAlign w:val="center"/>
          </w:tcPr>
          <w:p>
            <w:pPr>
              <w:spacing w:line="276" w:lineRule="auto"/>
              <w:jc w:val="center"/>
              <w:rPr>
                <w:rFonts w:ascii="Times New Roman" w:hAnsi="Times New Roman" w:eastAsia="宋体" w:cs="Times New Roman"/>
                <w:color w:val="auto"/>
                <w:kern w:val="2"/>
                <w:sz w:val="21"/>
                <w:szCs w:val="21"/>
                <w:lang w:val="en-US"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right w:val="single" w:color="000000" w:sz="4" w:space="0"/>
            </w:tcBorders>
            <w:noWrap/>
            <w:vAlign w:val="center"/>
          </w:tcPr>
          <w:p>
            <w:pPr>
              <w:pStyle w:val="22"/>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sz w:val="21"/>
                <w:szCs w:val="21"/>
              </w:rPr>
            </w:pPr>
            <w:r>
              <w:rPr>
                <w:rFonts w:hint="eastAsia"/>
                <w:sz w:val="21"/>
                <w:szCs w:val="21"/>
                <w:lang w:eastAsia="zh-CN"/>
              </w:rPr>
              <w:t>输送、投</w:t>
            </w:r>
            <w:r>
              <w:rPr>
                <w:sz w:val="21"/>
                <w:szCs w:val="21"/>
              </w:rPr>
              <w:t>料</w:t>
            </w:r>
            <w:r>
              <w:rPr>
                <w:rFonts w:hint="eastAsia"/>
                <w:sz w:val="21"/>
                <w:szCs w:val="21"/>
                <w:lang w:eastAsia="zh-CN"/>
              </w:rPr>
              <w:t>、</w:t>
            </w:r>
            <w:r>
              <w:rPr>
                <w:sz w:val="21"/>
                <w:szCs w:val="21"/>
              </w:rPr>
              <w:t>搅拌</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szCs w:val="21"/>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spacing w:val="-6"/>
                <w:szCs w:val="21"/>
              </w:rPr>
            </w:pPr>
            <w:r>
              <w:rPr>
                <w:rFonts w:hint="eastAsia"/>
                <w:spacing w:val="-6"/>
                <w:szCs w:val="21"/>
                <w:lang w:val="en-US" w:eastAsia="zh-CN"/>
              </w:rPr>
              <w:t>754</w:t>
            </w:r>
            <w:r>
              <w:rPr>
                <w:spacing w:val="-6"/>
                <w:szCs w:val="21"/>
              </w:rPr>
              <w:t>mg/m</w:t>
            </w:r>
            <w:r>
              <w:rPr>
                <w:spacing w:val="-6"/>
                <w:szCs w:val="21"/>
                <w:vertAlign w:val="superscript"/>
              </w:rPr>
              <w:t>3</w:t>
            </w:r>
            <w:r>
              <w:rPr>
                <w:spacing w:val="-6"/>
                <w:szCs w:val="21"/>
              </w:rPr>
              <w:t>、</w:t>
            </w:r>
            <w:r>
              <w:rPr>
                <w:rFonts w:hint="eastAsia"/>
                <w:spacing w:val="-6"/>
                <w:szCs w:val="21"/>
                <w:lang w:val="en-US" w:eastAsia="zh-CN"/>
              </w:rPr>
              <w:t>18.09</w:t>
            </w:r>
            <w:r>
              <w:rPr>
                <w:spacing w:val="-6"/>
                <w:szCs w:val="21"/>
              </w:rPr>
              <w:t>t/a</w:t>
            </w:r>
          </w:p>
        </w:tc>
        <w:tc>
          <w:tcPr>
            <w:tcW w:w="2392" w:type="dxa"/>
            <w:vMerge w:val="continue"/>
            <w:tcBorders>
              <w:left w:val="single" w:color="000000" w:sz="4" w:space="0"/>
              <w:bottom w:val="single" w:color="000000" w:sz="4" w:space="0"/>
              <w:right w:val="single" w:color="000000" w:sz="4" w:space="0"/>
            </w:tcBorders>
            <w:noWrap/>
            <w:vAlign w:val="center"/>
          </w:tcPr>
          <w:p>
            <w:pPr>
              <w:spacing w:line="276" w:lineRule="auto"/>
              <w:jc w:val="center"/>
              <w:rPr>
                <w:spacing w:val="-6"/>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restart"/>
            <w:tcBorders>
              <w:left w:val="single" w:color="000000" w:sz="4" w:space="0"/>
              <w:right w:val="single" w:color="000000" w:sz="4" w:space="0"/>
            </w:tcBorders>
            <w:noWrap/>
            <w:vAlign w:val="center"/>
          </w:tcPr>
          <w:p>
            <w:pPr>
              <w:pStyle w:val="22"/>
              <w:spacing w:line="360" w:lineRule="exact"/>
              <w:jc w:val="center"/>
              <w:rPr>
                <w:sz w:val="21"/>
                <w:szCs w:val="21"/>
              </w:rPr>
            </w:pPr>
            <w:r>
              <w:rPr>
                <w:sz w:val="21"/>
                <w:szCs w:val="21"/>
              </w:rPr>
              <w:t>无组织</w:t>
            </w: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rFonts w:hint="eastAsia"/>
                <w:sz w:val="21"/>
                <w:szCs w:val="21"/>
                <w:lang w:eastAsia="zh-CN"/>
              </w:rPr>
            </w:pPr>
            <w:r>
              <w:rPr>
                <w:rFonts w:hint="eastAsia"/>
                <w:sz w:val="21"/>
                <w:szCs w:val="21"/>
                <w:lang w:eastAsia="zh-CN"/>
              </w:rPr>
              <w:t>原料装卸</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hint="eastAsia" w:ascii="Times New Roman" w:hAnsi="Times New Roman" w:eastAsia="宋体" w:cs="Times New Roman"/>
                <w:spacing w:val="-6"/>
                <w:kern w:val="2"/>
                <w:sz w:val="21"/>
                <w:szCs w:val="21"/>
                <w:lang w:val="en-US" w:eastAsia="zh-CN" w:bidi="ar-SA"/>
              </w:rPr>
            </w:pPr>
            <w:r>
              <w:rPr>
                <w:rFonts w:hint="eastAsia"/>
                <w:spacing w:val="-6"/>
                <w:szCs w:val="21"/>
                <w:lang w:val="en-US" w:eastAsia="zh-CN"/>
              </w:rPr>
              <w:t>0.73</w:t>
            </w:r>
            <w:r>
              <w:rPr>
                <w:spacing w:val="-6"/>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hint="eastAsia" w:ascii="Times New Roman" w:hAnsi="Times New Roman" w:eastAsia="宋体" w:cs="Times New Roman"/>
                <w:spacing w:val="-6"/>
                <w:kern w:val="2"/>
                <w:sz w:val="21"/>
                <w:szCs w:val="21"/>
                <w:lang w:val="en-US" w:eastAsia="zh-CN" w:bidi="ar-SA"/>
              </w:rPr>
            </w:pPr>
            <w:r>
              <w:rPr>
                <w:rFonts w:hint="eastAsia"/>
                <w:spacing w:val="-6"/>
                <w:szCs w:val="21"/>
                <w:lang w:val="en-US" w:eastAsia="zh-CN"/>
              </w:rPr>
              <w:t>0.0365</w:t>
            </w:r>
            <w:r>
              <w:rPr>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right w:val="single" w:color="000000" w:sz="4" w:space="0"/>
            </w:tcBorders>
            <w:noWrap/>
            <w:vAlign w:val="center"/>
          </w:tcPr>
          <w:p>
            <w:pPr>
              <w:pStyle w:val="22"/>
              <w:spacing w:line="360" w:lineRule="exact"/>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rFonts w:hint="eastAsia"/>
                <w:sz w:val="21"/>
                <w:szCs w:val="21"/>
                <w:lang w:eastAsia="zh-CN"/>
              </w:rPr>
            </w:pPr>
            <w:r>
              <w:rPr>
                <w:rFonts w:hint="eastAsia"/>
                <w:sz w:val="21"/>
                <w:szCs w:val="21"/>
                <w:lang w:eastAsia="zh-CN"/>
              </w:rPr>
              <w:t>输送、投</w:t>
            </w:r>
            <w:r>
              <w:rPr>
                <w:sz w:val="21"/>
                <w:szCs w:val="21"/>
              </w:rPr>
              <w:t>料</w:t>
            </w:r>
            <w:r>
              <w:rPr>
                <w:rFonts w:hint="eastAsia"/>
                <w:sz w:val="21"/>
                <w:szCs w:val="21"/>
                <w:lang w:eastAsia="zh-CN"/>
              </w:rPr>
              <w:t>、</w:t>
            </w:r>
            <w:r>
              <w:rPr>
                <w:sz w:val="21"/>
                <w:szCs w:val="21"/>
              </w:rPr>
              <w:t>搅拌</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hint="eastAsia"/>
                <w:color w:val="auto"/>
                <w:szCs w:val="21"/>
                <w:lang w:eastAsia="zh-CN"/>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hint="default"/>
                <w:spacing w:val="-6"/>
                <w:szCs w:val="21"/>
                <w:lang w:val="en-US" w:eastAsia="zh-CN"/>
              </w:rPr>
            </w:pPr>
            <w:r>
              <w:rPr>
                <w:rFonts w:hint="eastAsia"/>
                <w:spacing w:val="-6"/>
                <w:szCs w:val="21"/>
                <w:lang w:val="en-US" w:eastAsia="zh-CN"/>
              </w:rPr>
              <w:t>2.01</w:t>
            </w:r>
            <w:r>
              <w:rPr>
                <w:spacing w:val="-6"/>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spacing w:val="-6"/>
                <w:szCs w:val="21"/>
              </w:rPr>
            </w:pPr>
            <w:r>
              <w:rPr>
                <w:rFonts w:hint="eastAsia"/>
                <w:spacing w:val="-6"/>
                <w:szCs w:val="21"/>
                <w:lang w:val="en-US" w:eastAsia="zh-CN"/>
              </w:rPr>
              <w:t>0.1005</w:t>
            </w:r>
            <w:r>
              <w:rPr>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运输道路</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扬尘</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bCs/>
                <w:spacing w:val="-6"/>
                <w:szCs w:val="21"/>
              </w:rPr>
              <w:t>0.1</w:t>
            </w:r>
            <w:r>
              <w:rPr>
                <w:rFonts w:hint="eastAsia"/>
                <w:bCs/>
                <w:spacing w:val="-6"/>
                <w:szCs w:val="21"/>
              </w:rPr>
              <w:t>63</w:t>
            </w:r>
            <w:r>
              <w:rPr>
                <w:bCs/>
                <w:spacing w:val="-6"/>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bCs/>
                <w:spacing w:val="-6"/>
                <w:szCs w:val="21"/>
              </w:rPr>
              <w:t>0.</w:t>
            </w:r>
            <w:r>
              <w:rPr>
                <w:rFonts w:hint="eastAsia"/>
                <w:bCs/>
                <w:spacing w:val="-6"/>
                <w:szCs w:val="21"/>
                <w:lang w:val="en-US" w:eastAsia="zh-CN"/>
              </w:rPr>
              <w:t>0163</w:t>
            </w:r>
            <w:r>
              <w:rPr>
                <w:bCs/>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5" w:hRule="atLeast"/>
          <w:jc w:val="center"/>
        </w:trPr>
        <w:tc>
          <w:tcPr>
            <w:tcW w:w="976" w:type="dxa"/>
            <w:vMerge w:val="continue"/>
            <w:tcBorders>
              <w:left w:val="single" w:color="000000" w:sz="4" w:space="0"/>
              <w:bottom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食堂</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油烟</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rFonts w:hint="eastAsia"/>
                <w:szCs w:val="21"/>
                <w:lang w:val="en-US" w:eastAsia="zh-CN"/>
              </w:rPr>
              <w:t>1.5</w:t>
            </w:r>
            <w:r>
              <w:rPr>
                <w:szCs w:val="21"/>
              </w:rPr>
              <w:t>mg/m</w:t>
            </w:r>
            <w:r>
              <w:rPr>
                <w:szCs w:val="21"/>
                <w:vertAlign w:val="superscript"/>
              </w:rPr>
              <w:t>3</w:t>
            </w:r>
            <w:r>
              <w:rPr>
                <w:szCs w:val="21"/>
              </w:rPr>
              <w:t>，</w:t>
            </w:r>
            <w:r>
              <w:rPr>
                <w:rFonts w:hint="eastAsia"/>
                <w:szCs w:val="21"/>
                <w:lang w:val="en-US" w:eastAsia="zh-CN"/>
              </w:rPr>
              <w:t>1.783kg</w:t>
            </w:r>
            <w:r>
              <w:rPr>
                <w:szCs w:val="21"/>
              </w:rPr>
              <w: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rFonts w:hint="eastAsia"/>
                <w:bCs/>
                <w:spacing w:val="-6"/>
                <w:szCs w:val="21"/>
                <w:lang w:val="en-US" w:eastAsia="zh-CN"/>
              </w:rPr>
              <w:t>0.15</w:t>
            </w:r>
            <w:r>
              <w:rPr>
                <w:szCs w:val="21"/>
              </w:rPr>
              <w:t>mg/m</w:t>
            </w:r>
            <w:r>
              <w:rPr>
                <w:szCs w:val="21"/>
                <w:vertAlign w:val="superscript"/>
              </w:rPr>
              <w:t>3</w:t>
            </w:r>
            <w:r>
              <w:rPr>
                <w:rFonts w:hint="eastAsia"/>
                <w:bCs/>
                <w:spacing w:val="-6"/>
                <w:szCs w:val="21"/>
              </w:rPr>
              <w:t>，0.</w:t>
            </w:r>
            <w:r>
              <w:rPr>
                <w:rFonts w:hint="eastAsia"/>
                <w:bCs/>
                <w:spacing w:val="-6"/>
                <w:szCs w:val="21"/>
                <w:lang w:val="en-US" w:eastAsia="zh-CN"/>
              </w:rPr>
              <w:t>1783</w:t>
            </w:r>
            <w:r>
              <w:rPr>
                <w:rFonts w:hint="eastAsia"/>
                <w:szCs w:val="21"/>
                <w:lang w:val="en-US" w:eastAsia="zh-CN"/>
              </w:rPr>
              <w:t>kg</w:t>
            </w:r>
            <w:r>
              <w:rPr>
                <w:szCs w:val="21"/>
              </w:rPr>
              <w: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 w:hRule="atLeast"/>
          <w:jc w:val="center"/>
        </w:trPr>
        <w:tc>
          <w:tcPr>
            <w:tcW w:w="976" w:type="dxa"/>
            <w:vMerge w:val="restart"/>
            <w:tcBorders>
              <w:left w:val="single" w:color="000000" w:sz="4" w:space="0"/>
              <w:right w:val="single" w:color="000000" w:sz="4" w:space="0"/>
            </w:tcBorders>
            <w:noWrap/>
            <w:vAlign w:val="center"/>
          </w:tcPr>
          <w:p>
            <w:pPr>
              <w:spacing w:line="360" w:lineRule="exact"/>
              <w:jc w:val="center"/>
              <w:rPr>
                <w:b/>
                <w:sz w:val="24"/>
              </w:rPr>
            </w:pPr>
            <w:r>
              <w:rPr>
                <w:b/>
                <w:sz w:val="24"/>
              </w:rPr>
              <w:t>水</w:t>
            </w:r>
          </w:p>
          <w:p>
            <w:pPr>
              <w:spacing w:line="360" w:lineRule="exact"/>
              <w:jc w:val="center"/>
              <w:rPr>
                <w:b/>
                <w:sz w:val="24"/>
              </w:rPr>
            </w:pPr>
            <w:r>
              <w:rPr>
                <w:b/>
                <w:sz w:val="24"/>
              </w:rPr>
              <w:t>污</w:t>
            </w:r>
          </w:p>
          <w:p>
            <w:pPr>
              <w:spacing w:line="360" w:lineRule="exact"/>
              <w:jc w:val="center"/>
              <w:rPr>
                <w:b/>
                <w:sz w:val="24"/>
              </w:rPr>
            </w:pPr>
            <w:r>
              <w:rPr>
                <w:b/>
                <w:sz w:val="24"/>
              </w:rPr>
              <w:t>染</w:t>
            </w:r>
          </w:p>
          <w:p>
            <w:pPr>
              <w:spacing w:line="360" w:lineRule="exact"/>
              <w:jc w:val="center"/>
              <w:rPr>
                <w:b/>
                <w:sz w:val="24"/>
              </w:rPr>
            </w:pPr>
            <w:r>
              <w:rPr>
                <w:b/>
                <w:sz w:val="24"/>
              </w:rPr>
              <w:t>物</w:t>
            </w: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场地、设备冲洗</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冲洗废水</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szCs w:val="21"/>
              </w:rPr>
            </w:pPr>
            <w:r>
              <w:rPr>
                <w:rFonts w:hint="eastAsia"/>
                <w:szCs w:val="21"/>
                <w:lang w:val="en-US" w:eastAsia="zh-CN"/>
              </w:rPr>
              <w:t>540m</w:t>
            </w:r>
            <w:r>
              <w:rPr>
                <w:rFonts w:hint="eastAsia"/>
                <w:szCs w:val="21"/>
                <w:vertAlign w:val="superscript"/>
                <w:lang w:val="en-US" w:eastAsia="zh-CN"/>
              </w:rPr>
              <w:t>3</w:t>
            </w:r>
            <w:r>
              <w:rPr>
                <w:szCs w:val="21"/>
              </w:rPr>
              <w: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bCs/>
                <w:spacing w:val="-6"/>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6"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运输车辆冲洗</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冲洗废水</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szCs w:val="21"/>
              </w:rPr>
            </w:pPr>
            <w:r>
              <w:rPr>
                <w:rFonts w:hint="eastAsia"/>
                <w:szCs w:val="21"/>
                <w:lang w:val="en-US" w:eastAsia="zh-CN"/>
              </w:rPr>
              <w:t>288m</w:t>
            </w:r>
            <w:r>
              <w:rPr>
                <w:rFonts w:hint="eastAsia"/>
                <w:szCs w:val="21"/>
                <w:vertAlign w:val="superscript"/>
                <w:lang w:val="en-US" w:eastAsia="zh-CN"/>
              </w:rPr>
              <w:t>3</w:t>
            </w:r>
            <w:r>
              <w:rPr>
                <w:bCs/>
                <w:spacing w:val="-6"/>
                <w:szCs w:val="21"/>
              </w:rPr>
              <w:t>/a</w:t>
            </w:r>
          </w:p>
        </w:tc>
        <w:tc>
          <w:tcPr>
            <w:tcW w:w="2392" w:type="dxa"/>
            <w:tcBorders>
              <w:top w:val="single" w:color="000000" w:sz="4" w:space="0"/>
              <w:left w:val="single" w:color="000000" w:sz="4" w:space="0"/>
              <w:bottom w:val="single" w:color="000000" w:sz="4" w:space="0"/>
              <w:right w:val="single" w:color="000000" w:sz="4" w:space="0"/>
            </w:tcBorders>
            <w:noWrap/>
          </w:tcPr>
          <w:p>
            <w:pPr>
              <w:adjustRightInd w:val="0"/>
              <w:snapToGrid w:val="0"/>
              <w:spacing w:line="360" w:lineRule="exact"/>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976" w:type="dxa"/>
            <w:vMerge w:val="continue"/>
            <w:tcBorders>
              <w:left w:val="single" w:color="000000" w:sz="4" w:space="0"/>
              <w:bottom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办公生活</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生活污水</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overflowPunct w:val="0"/>
              <w:adjustRightInd w:val="0"/>
              <w:spacing w:before="40" w:after="60"/>
              <w:jc w:val="center"/>
              <w:rPr>
                <w:szCs w:val="21"/>
              </w:rPr>
            </w:pPr>
            <w:r>
              <w:rPr>
                <w:rFonts w:hint="eastAsia"/>
                <w:szCs w:val="21"/>
                <w:lang w:val="en-US" w:eastAsia="zh-CN"/>
              </w:rPr>
              <w:t>110.4m</w:t>
            </w:r>
            <w:r>
              <w:rPr>
                <w:rFonts w:hint="eastAsia"/>
                <w:szCs w:val="21"/>
                <w:vertAlign w:val="superscript"/>
                <w:lang w:val="en-US" w:eastAsia="zh-CN"/>
              </w:rPr>
              <w:t>3</w:t>
            </w:r>
            <w:r>
              <w:rPr>
                <w:szCs w:val="21"/>
              </w:rPr>
              <w: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jc w:val="center"/>
              <w:rPr>
                <w:kern w:val="0"/>
                <w:szCs w:val="21"/>
              </w:rPr>
            </w:pPr>
            <w:r>
              <w:rPr>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1" w:hRule="atLeast"/>
          <w:jc w:val="center"/>
        </w:trPr>
        <w:tc>
          <w:tcPr>
            <w:tcW w:w="976" w:type="dxa"/>
            <w:vMerge w:val="restart"/>
            <w:tcBorders>
              <w:top w:val="single" w:color="000000" w:sz="4" w:space="0"/>
              <w:left w:val="single" w:color="000000" w:sz="4" w:space="0"/>
              <w:right w:val="single" w:color="000000" w:sz="4" w:space="0"/>
            </w:tcBorders>
            <w:noWrap/>
            <w:vAlign w:val="center"/>
          </w:tcPr>
          <w:p>
            <w:pPr>
              <w:spacing w:line="360" w:lineRule="exact"/>
              <w:jc w:val="center"/>
              <w:rPr>
                <w:b/>
                <w:sz w:val="24"/>
              </w:rPr>
            </w:pPr>
            <w:r>
              <w:rPr>
                <w:b/>
                <w:sz w:val="24"/>
              </w:rPr>
              <w:t>固</w:t>
            </w:r>
          </w:p>
          <w:p>
            <w:pPr>
              <w:spacing w:line="360" w:lineRule="exact"/>
              <w:jc w:val="center"/>
              <w:rPr>
                <w:b/>
                <w:sz w:val="24"/>
              </w:rPr>
            </w:pPr>
            <w:r>
              <w:rPr>
                <w:b/>
                <w:sz w:val="24"/>
              </w:rPr>
              <w:t>体</w:t>
            </w:r>
          </w:p>
          <w:p>
            <w:pPr>
              <w:spacing w:line="360" w:lineRule="exact"/>
              <w:jc w:val="center"/>
              <w:rPr>
                <w:b/>
                <w:sz w:val="24"/>
              </w:rPr>
            </w:pPr>
            <w:r>
              <w:rPr>
                <w:b/>
                <w:sz w:val="24"/>
              </w:rPr>
              <w:t>废</w:t>
            </w:r>
          </w:p>
          <w:p>
            <w:pPr>
              <w:spacing w:line="360" w:lineRule="exact"/>
              <w:jc w:val="center"/>
              <w:rPr>
                <w:b/>
                <w:sz w:val="24"/>
              </w:rPr>
            </w:pPr>
            <w:r>
              <w:rPr>
                <w:b/>
                <w:sz w:val="24"/>
              </w:rPr>
              <w:t>物</w:t>
            </w:r>
          </w:p>
        </w:tc>
        <w:tc>
          <w:tcPr>
            <w:tcW w:w="1807" w:type="dxa"/>
            <w:gridSpan w:val="2"/>
            <w:vMerge w:val="restart"/>
            <w:tcBorders>
              <w:top w:val="single" w:color="000000" w:sz="4" w:space="0"/>
              <w:left w:val="single" w:color="000000" w:sz="4" w:space="0"/>
              <w:right w:val="single" w:color="000000" w:sz="4" w:space="0"/>
            </w:tcBorders>
            <w:noWrap/>
            <w:vAlign w:val="center"/>
          </w:tcPr>
          <w:p>
            <w:pPr>
              <w:pStyle w:val="53"/>
              <w:jc w:val="center"/>
              <w:rPr>
                <w:szCs w:val="21"/>
              </w:rPr>
            </w:pPr>
            <w:r>
              <w:rPr>
                <w:szCs w:val="21"/>
              </w:rPr>
              <w:t>生产单元</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rFonts w:hint="eastAsia" w:eastAsia="宋体"/>
                <w:szCs w:val="21"/>
                <w:lang w:eastAsia="zh-CN"/>
              </w:rPr>
            </w:pPr>
            <w:r>
              <w:rPr>
                <w:szCs w:val="21"/>
              </w:rPr>
              <w:t>除尘</w:t>
            </w:r>
            <w:r>
              <w:rPr>
                <w:rFonts w:hint="eastAsia"/>
                <w:szCs w:val="21"/>
                <w:lang w:eastAsia="zh-CN"/>
              </w:rPr>
              <w:t>器收集颗粒物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rFonts w:hint="eastAsia"/>
                <w:szCs w:val="21"/>
                <w:lang w:val="en-US" w:eastAsia="zh-CN"/>
              </w:rPr>
              <w:t>25.109</w:t>
            </w:r>
            <w:r>
              <w:rPr>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1"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vMerge w:val="continue"/>
            <w:tcBorders>
              <w:left w:val="single" w:color="000000" w:sz="4" w:space="0"/>
              <w:right w:val="single" w:color="000000" w:sz="4" w:space="0"/>
            </w:tcBorders>
            <w:noWrap/>
            <w:vAlign w:val="center"/>
          </w:tcPr>
          <w:p>
            <w:pPr>
              <w:pStyle w:val="53"/>
              <w:jc w:val="center"/>
              <w:rPr>
                <w:szCs w:val="21"/>
              </w:rPr>
            </w:pP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不合格湿产品</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rFonts w:hint="eastAsia"/>
                <w:szCs w:val="21"/>
              </w:rPr>
              <w:t>251</w:t>
            </w:r>
            <w:r>
              <w:rPr>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1"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vMerge w:val="continue"/>
            <w:tcBorders>
              <w:left w:val="single" w:color="000000" w:sz="4" w:space="0"/>
              <w:right w:val="single" w:color="000000" w:sz="4" w:space="0"/>
            </w:tcBorders>
            <w:noWrap/>
            <w:vAlign w:val="center"/>
          </w:tcPr>
          <w:p>
            <w:pPr>
              <w:pStyle w:val="53"/>
              <w:jc w:val="center"/>
              <w:rPr>
                <w:szCs w:val="21"/>
              </w:rPr>
            </w:pP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不合格干产品</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szCs w:val="21"/>
              </w:rPr>
              <w:t>1</w:t>
            </w:r>
            <w:r>
              <w:rPr>
                <w:rFonts w:hint="eastAsia"/>
                <w:szCs w:val="21"/>
              </w:rPr>
              <w:t>0</w:t>
            </w:r>
            <w:r>
              <w:rPr>
                <w:szCs w:val="21"/>
              </w:rPr>
              <w:t>0t/a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5"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vMerge w:val="continue"/>
            <w:tcBorders>
              <w:left w:val="single" w:color="000000" w:sz="4" w:space="0"/>
              <w:right w:val="single" w:color="000000" w:sz="4" w:space="0"/>
            </w:tcBorders>
            <w:noWrap/>
            <w:vAlign w:val="center"/>
          </w:tcPr>
          <w:p>
            <w:pPr>
              <w:spacing w:line="520" w:lineRule="exact"/>
              <w:jc w:val="center"/>
              <w:rPr>
                <w:szCs w:val="21"/>
              </w:rPr>
            </w:pP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沉渣</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szCs w:val="21"/>
              </w:rPr>
              <w:t>5t/a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5" w:hRule="atLeast"/>
          <w:jc w:val="center"/>
        </w:trPr>
        <w:tc>
          <w:tcPr>
            <w:tcW w:w="976" w:type="dxa"/>
            <w:vMerge w:val="continue"/>
            <w:tcBorders>
              <w:left w:val="single" w:color="000000" w:sz="4" w:space="0"/>
              <w:bottom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spacing w:line="520" w:lineRule="exact"/>
              <w:jc w:val="center"/>
              <w:rPr>
                <w:szCs w:val="21"/>
              </w:rPr>
            </w:pPr>
            <w:r>
              <w:rPr>
                <w:szCs w:val="21"/>
              </w:rPr>
              <w:t>办公生活</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生活垃圾</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szCs w:val="21"/>
              </w:rPr>
              <w:t>1.</w:t>
            </w:r>
            <w:r>
              <w:rPr>
                <w:rFonts w:hint="eastAsia"/>
                <w:szCs w:val="21"/>
              </w:rPr>
              <w:t>05</w:t>
            </w:r>
            <w:r>
              <w:rPr>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41" w:hRule="atLeast"/>
          <w:jc w:val="center"/>
        </w:trPr>
        <w:tc>
          <w:tcPr>
            <w:tcW w:w="976"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b/>
                <w:sz w:val="24"/>
              </w:rPr>
            </w:pPr>
            <w:r>
              <w:rPr>
                <w:b/>
                <w:sz w:val="24"/>
              </w:rPr>
              <w:t>噪</w:t>
            </w:r>
          </w:p>
          <w:p>
            <w:pPr>
              <w:spacing w:line="360" w:lineRule="exact"/>
              <w:jc w:val="center"/>
              <w:rPr>
                <w:b/>
                <w:sz w:val="24"/>
              </w:rPr>
            </w:pPr>
            <w:r>
              <w:rPr>
                <w:b/>
                <w:sz w:val="24"/>
              </w:rPr>
              <w:t>声</w:t>
            </w:r>
          </w:p>
        </w:tc>
        <w:tc>
          <w:tcPr>
            <w:tcW w:w="8140" w:type="dxa"/>
            <w:gridSpan w:val="5"/>
            <w:tcBorders>
              <w:top w:val="single" w:color="000000" w:sz="4" w:space="0"/>
              <w:left w:val="single" w:color="000000" w:sz="4" w:space="0"/>
              <w:bottom w:val="single" w:color="000000" w:sz="4" w:space="0"/>
              <w:right w:val="single" w:color="000000" w:sz="4" w:space="0"/>
            </w:tcBorders>
            <w:noWrap/>
            <w:vAlign w:val="center"/>
          </w:tcPr>
          <w:p>
            <w:pPr>
              <w:spacing w:line="360" w:lineRule="exact"/>
              <w:rPr>
                <w:szCs w:val="21"/>
              </w:rPr>
            </w:pPr>
            <w:r>
              <w:rPr>
                <w:szCs w:val="21"/>
              </w:rPr>
              <w:t>本项目的噪声源主要为</w:t>
            </w:r>
            <w:r>
              <w:t>搅拌机、配料机、成型机、码垛机等</w:t>
            </w:r>
            <w:r>
              <w:rPr>
                <w:szCs w:val="21"/>
              </w:rPr>
              <w:t>，噪声级在70～90dB(A)之间。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53" w:hRule="atLeast"/>
          <w:jc w:val="center"/>
        </w:trPr>
        <w:tc>
          <w:tcPr>
            <w:tcW w:w="9116" w:type="dxa"/>
            <w:gridSpan w:val="6"/>
            <w:tcBorders>
              <w:top w:val="single" w:color="000000" w:sz="4" w:space="0"/>
              <w:left w:val="single" w:color="000000" w:sz="4" w:space="0"/>
              <w:bottom w:val="single" w:color="000000" w:sz="4" w:space="0"/>
              <w:right w:val="single" w:color="000000" w:sz="4" w:space="0"/>
            </w:tcBorders>
            <w:noWrap/>
            <w:vAlign w:val="center"/>
          </w:tcPr>
          <w:p>
            <w:pPr>
              <w:spacing w:line="520" w:lineRule="exact"/>
              <w:rPr>
                <w:b/>
                <w:sz w:val="24"/>
              </w:rPr>
            </w:pPr>
            <w:r>
              <w:rPr>
                <w:b/>
                <w:sz w:val="24"/>
              </w:rPr>
              <w:t>主要生态影响：</w:t>
            </w:r>
          </w:p>
          <w:p>
            <w:pPr>
              <w:spacing w:line="520" w:lineRule="exact"/>
              <w:ind w:firstLine="480" w:firstLineChars="200"/>
              <w:jc w:val="left"/>
              <w:rPr>
                <w:sz w:val="24"/>
              </w:rPr>
            </w:pPr>
            <w:r>
              <w:rPr>
                <w:sz w:val="24"/>
              </w:rPr>
              <w:t>本项目区域主要为道路、村庄及工业企业，人为活动较为频繁，生态环境以人工生态环境为主，区域内无野生植被、大型野生动物以及受国家保护的动植物种类。项目在现有厂区内建设，对生态环境影响较小。</w:t>
            </w:r>
          </w:p>
          <w:p>
            <w:pPr>
              <w:pStyle w:val="18"/>
              <w:rPr>
                <w:sz w:val="24"/>
              </w:rPr>
            </w:pPr>
          </w:p>
          <w:p>
            <w:pPr>
              <w:pStyle w:val="18"/>
              <w:rPr>
                <w:sz w:val="24"/>
              </w:rPr>
            </w:pPr>
          </w:p>
          <w:p>
            <w:pPr>
              <w:pStyle w:val="18"/>
              <w:rPr>
                <w:sz w:val="24"/>
              </w:rPr>
            </w:pPr>
          </w:p>
          <w:p>
            <w:pPr>
              <w:spacing w:line="360" w:lineRule="exact"/>
              <w:rPr>
                <w:szCs w:val="21"/>
              </w:rPr>
            </w:pPr>
          </w:p>
        </w:tc>
      </w:tr>
    </w:tbl>
    <w:p>
      <w:pPr>
        <w:spacing w:line="360" w:lineRule="auto"/>
        <w:rPr>
          <w:sz w:val="28"/>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环境影响分析</w:t>
      </w:r>
    </w:p>
    <w:tbl>
      <w:tblPr>
        <w:tblStyle w:val="32"/>
        <w:tblW w:w="894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946" w:type="dxa"/>
            <w:tcBorders>
              <w:bottom w:val="single" w:color="auto" w:sz="6" w:space="0"/>
            </w:tcBorders>
            <w:noWrap/>
          </w:tcPr>
          <w:p>
            <w:pPr>
              <w:spacing w:line="520" w:lineRule="exact"/>
              <w:rPr>
                <w:b/>
                <w:sz w:val="24"/>
              </w:rPr>
            </w:pPr>
            <w:r>
              <w:rPr>
                <w:b/>
                <w:sz w:val="24"/>
              </w:rPr>
              <w:t>施工期环境影响简要分析：</w:t>
            </w:r>
          </w:p>
          <w:p>
            <w:pPr>
              <w:spacing w:line="520" w:lineRule="exact"/>
              <w:ind w:firstLine="480" w:firstLineChars="200"/>
              <w:jc w:val="left"/>
              <w:rPr>
                <w:rFonts w:hint="default" w:ascii="Times New Roman" w:hAnsi="Times New Roman" w:eastAsia="黑体" w:cs="Times New Roman"/>
                <w:sz w:val="24"/>
              </w:rPr>
            </w:pPr>
            <w:r>
              <w:rPr>
                <w:rFonts w:hint="eastAsia" w:eastAsia="黑体" w:cs="Times New Roman"/>
                <w:sz w:val="24"/>
                <w:lang w:val="en-US" w:eastAsia="zh-CN"/>
              </w:rPr>
              <w:t>1.1</w:t>
            </w:r>
            <w:r>
              <w:rPr>
                <w:rFonts w:hint="default" w:ascii="Times New Roman" w:hAnsi="Times New Roman" w:eastAsia="黑体" w:cs="Times New Roman"/>
                <w:sz w:val="24"/>
              </w:rPr>
              <w:t>、大气环境影响分析</w:t>
            </w:r>
          </w:p>
          <w:p>
            <w:pPr>
              <w:spacing w:line="520" w:lineRule="exact"/>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扬尘</w:t>
            </w:r>
          </w:p>
          <w:p>
            <w:pPr>
              <w:snapToGrid w:val="0"/>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期场地平整、填、挖以及建筑垃圾的装卸和运输过程中将产生将产生扬尘，由于施工的需要，施工点建筑物的开挖、堆放、回填过程中及建筑材料的运输、堆放等，在干燥有风的情况下，会产生一定量的扬尘，按起尘的原因可分为风力起尘和动力起尘，其中主要由于露天堆放的建材及裸露的施工区表层土因天气干燥及大风原因而产生扬尘；动力扬尘主要是在建材装卸过程中，由外力而产生的尘粒悬浮而造成的。</w:t>
            </w:r>
          </w:p>
          <w:p>
            <w:pPr>
              <w:spacing w:line="520" w:lineRule="exact"/>
              <w:ind w:firstLine="482" w:firstLineChars="200"/>
              <w:jc w:val="left"/>
              <w:rPr>
                <w:rFonts w:hint="default" w:ascii="Times New Roman" w:hAnsi="Times New Roman" w:cs="Times New Roman"/>
                <w:b/>
                <w:bCs/>
                <w:sz w:val="24"/>
                <w:u w:val="single"/>
              </w:rPr>
            </w:pPr>
            <w:r>
              <w:rPr>
                <w:rFonts w:hint="default" w:ascii="Times New Roman" w:hAnsi="Times New Roman" w:cs="Times New Roman"/>
                <w:b/>
                <w:bCs/>
                <w:sz w:val="24"/>
                <w:u w:val="single"/>
              </w:rPr>
              <w:t>一般来说，施工期所产生的各类扬尘源属于瞬时源，产生的高度较低，颗粒较大，污染扩散距离也不会太远，其影响范围一般在施工场地周围一定范围内。因此，在项目施工过程中，会对周围空气环境造成一定的影响。本项目应严格按照绿色建筑要求进行施工，并严格执行《河南省2020年大气、水、土壤污染防治攻坚战实施方案的通知（豫环攻坚办〔2020〕7号）》、《平顶山市</w:t>
            </w:r>
            <w:r>
              <w:rPr>
                <w:rFonts w:hint="eastAsia" w:cs="Times New Roman"/>
                <w:b/>
                <w:bCs/>
                <w:sz w:val="24"/>
                <w:u w:val="single"/>
                <w:lang w:val="en-US" w:eastAsia="zh-CN"/>
              </w:rPr>
              <w:t>2020</w:t>
            </w:r>
            <w:r>
              <w:rPr>
                <w:rFonts w:hint="default" w:ascii="Times New Roman" w:hAnsi="Times New Roman" w:cs="Times New Roman"/>
                <w:b/>
                <w:bCs/>
                <w:sz w:val="24"/>
                <w:u w:val="single"/>
              </w:rPr>
              <w:t>年大气污染防治攻坚战实施方案》和《鲁山县2019年大气污染防治攻坚战实施方案》中规定的对工地扬尘治理的要求，建筑施工（含拆迁、新建）要做到文明施工，做到“8个100%”，即施工现场100%围挡、裸露土方100%覆盖、工地路面100%硬化、拆除工程100%洒水压尘、出工地车辆 100% 冲净车轮车身、暂不开发的场地100%绿化、渣土车辆100%密闭运输、建筑工地100%安装在线监测和视频监控。</w:t>
            </w:r>
          </w:p>
          <w:p>
            <w:pPr>
              <w:spacing w:line="520" w:lineRule="exact"/>
              <w:ind w:firstLine="482" w:firstLineChars="200"/>
              <w:jc w:val="left"/>
              <w:rPr>
                <w:rFonts w:hint="default" w:ascii="Times New Roman" w:hAnsi="Times New Roman" w:cs="Times New Roman"/>
                <w:b/>
                <w:bCs/>
                <w:sz w:val="24"/>
                <w:u w:val="single"/>
              </w:rPr>
            </w:pPr>
            <w:r>
              <w:rPr>
                <w:rFonts w:hint="default" w:ascii="Times New Roman" w:hAnsi="Times New Roman" w:cs="Times New Roman"/>
                <w:b/>
                <w:bCs/>
                <w:sz w:val="24"/>
                <w:u w:val="single"/>
              </w:rPr>
              <w:t>建设单位与施工单位签订施工合同时，应明确要求施工单位施工方案中应当有明确的扬尘污染防治措施，并严格遵守和实施；减少露天堆放，减少棵露地面，保证一定的含水率，并对露天堆放场加强管理，用蓬布等遮盖，以减少风力起尘；土方在运输和使用过程中应进行文明施工，尽量避免或减少扬尘的产生，防止区域环境空气受施工扬尘污染。扬尘防治措施应包含以下内容：</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1</w:t>
            </w:r>
            <w:r>
              <w:rPr>
                <w:rFonts w:hint="default" w:ascii="Times New Roman" w:hAnsi="Times New Roman" w:cs="Times New Roman"/>
                <w:b/>
                <w:bCs/>
                <w:sz w:val="24"/>
                <w:u w:val="single"/>
              </w:rPr>
              <w:t>）施工现场必须设置环境保护牌，标明扬尘污染防治措施、责任人及环保监督电话等。</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2</w:t>
            </w:r>
            <w:r>
              <w:rPr>
                <w:rFonts w:hint="default" w:ascii="Times New Roman" w:hAnsi="Times New Roman" w:cs="Times New Roman"/>
                <w:b/>
                <w:bCs/>
                <w:sz w:val="24"/>
                <w:u w:val="single"/>
              </w:rPr>
              <w:t>）施工现场必须沿工地四周连续设置稳固、整齐、美观的围挡（墙），由于周边环境较敏感，建议围挡墙高度不低于8米。</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3</w:t>
            </w:r>
            <w:r>
              <w:rPr>
                <w:rFonts w:hint="default" w:ascii="Times New Roman" w:hAnsi="Times New Roman" w:cs="Times New Roman"/>
                <w:b/>
                <w:bCs/>
                <w:sz w:val="24"/>
                <w:u w:val="single"/>
              </w:rPr>
              <w:t>）主体外侧必须使用合格阻燃的密目式安全网封闭，安全网应保持整齐、牢 固、无破损，降低楼层内风的流速，阻挡扬尘影响周围环境。严禁从空中抛撒废弃物。</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4</w:t>
            </w:r>
            <w:r>
              <w:rPr>
                <w:rFonts w:hint="default" w:ascii="Times New Roman" w:hAnsi="Times New Roman" w:cs="Times New Roman"/>
                <w:b/>
                <w:bCs/>
                <w:sz w:val="24"/>
                <w:u w:val="single"/>
              </w:rPr>
              <w:t>）施工现场应保持场容场貌整洁，场区大门口及主要道路、加工区必须做成混凝土地面，并满足车辆行驶要求。其他部位可采用不同的硬化措施，但现场地面应平整坚实，不得产生泥土和扬尘。使用吸尘器、工地扫地机等设备，加强粉尘清扫。施工现场围挡（墙）外地面，也应采取相应的硬化或绿化措施，确保干净、整洁、卫生，无扬尘和垃圾污染。</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5</w:t>
            </w:r>
            <w:r>
              <w:rPr>
                <w:rFonts w:hint="default" w:ascii="Times New Roman" w:hAnsi="Times New Roman" w:cs="Times New Roman"/>
                <w:b/>
                <w:bCs/>
                <w:sz w:val="24"/>
                <w:u w:val="single"/>
              </w:rPr>
              <w:t>）合理设置出入口，采取混凝土硬化。出入口应设置车辆冲洗设施，设置冲洗槽和沉淀池，保持排水通畅。并配备高压水枪，明确专人负责冲洗车辆，确保出场的垃圾、土石方、物料及大型运输车辆100%清理干净，不得将泥土带出现场。应在出入口设置固定式车辆自动清洗设备。</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6</w:t>
            </w:r>
            <w:r>
              <w:rPr>
                <w:rFonts w:hint="default" w:ascii="Times New Roman" w:hAnsi="Times New Roman" w:cs="Times New Roman"/>
                <w:b/>
                <w:bCs/>
                <w:sz w:val="24"/>
                <w:u w:val="single"/>
              </w:rPr>
              <w:t>）施工现场应砌筑垃圾堆放池，墙体应坚固。建筑垃圾、生活垃圾集中、分类堆放，严密遮盖，日产日清。</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7</w:t>
            </w:r>
            <w:r>
              <w:rPr>
                <w:rFonts w:hint="default" w:ascii="Times New Roman" w:hAnsi="Times New Roman" w:cs="Times New Roman"/>
                <w:b/>
                <w:bCs/>
                <w:sz w:val="24"/>
                <w:u w:val="single"/>
              </w:rPr>
              <w:t>）四级以上大风天气或市政府发布空气质量预警时，严禁进行土方开挖、回填、凿除、电焊等可能产生扬尘的施工，同时覆网防尘。</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8</w:t>
            </w:r>
            <w:r>
              <w:rPr>
                <w:rFonts w:hint="default" w:ascii="Times New Roman" w:hAnsi="Times New Roman" w:cs="Times New Roman"/>
                <w:b/>
                <w:bCs/>
                <w:sz w:val="24"/>
                <w:u w:val="single"/>
              </w:rPr>
              <w:t>）施工现场禁止现场搅拌混凝土、沙浆。水泥、石灰粉等建筑材料应存放在库房内或者严密遮盖。沙、石、土方等散体材料应集中堆放且覆盖。场内装卸、搬倒物料应遮盖、封闭或洒水，不得凌空抛掷、抛撒。场地四周安装围挡，并安装喷雾装置。</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9</w:t>
            </w:r>
            <w:r>
              <w:rPr>
                <w:rFonts w:hint="default" w:ascii="Times New Roman" w:hAnsi="Times New Roman" w:cs="Times New Roman"/>
                <w:b/>
                <w:bCs/>
                <w:sz w:val="24"/>
                <w:u w:val="single"/>
              </w:rPr>
              <w:t>）渣土及垃圾运输车辆必须办理相关手续或委托具有垃圾运输资格的运输单位进行。施工工地及从事渣土、垃圾运输的企业和车辆必须有建筑垃圾处理核准手续。采取密闭运输，车身应保持整洁，防止建筑材料、垃圾和工程渣土飞扬、洒落、流溢， 严禁抛扔或随意倾倒，保证运输途中不污染城市道路和环境，对不符合要求的运输车 辆和驾驶人员，严禁进场进行装运作业。</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10</w:t>
            </w:r>
            <w:r>
              <w:rPr>
                <w:rFonts w:hint="default" w:ascii="Times New Roman" w:hAnsi="Times New Roman" w:cs="Times New Roman"/>
                <w:b/>
                <w:bCs/>
                <w:sz w:val="24"/>
                <w:u w:val="single"/>
              </w:rPr>
              <w:t>）施工现场应保持环境卫生整洁并设专人负责，清扫前应洒水，避免扬尘污染。每天洒水1~2次，扬尘严重时应增加洒水次数。</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11</w:t>
            </w:r>
            <w:r>
              <w:rPr>
                <w:rFonts w:hint="default" w:ascii="Times New Roman" w:hAnsi="Times New Roman" w:cs="Times New Roman"/>
                <w:b/>
                <w:bCs/>
                <w:sz w:val="24"/>
                <w:u w:val="single"/>
              </w:rPr>
              <w:t>）施工现场严禁熔融沥青、焚烧塑料、垃圾等各类有毒有害物质和废弃物，不得使用煤、碳、木料等污染严重的燃料。</w:t>
            </w:r>
          </w:p>
          <w:p>
            <w:pPr>
              <w:spacing w:line="520" w:lineRule="exact"/>
              <w:ind w:firstLine="482" w:firstLineChars="200"/>
              <w:jc w:val="left"/>
              <w:rPr>
                <w:rFonts w:hint="default" w:ascii="Times New Roman" w:hAnsi="Times New Roman" w:cs="Times New Roman"/>
                <w:b/>
                <w:bCs/>
                <w:sz w:val="24"/>
                <w:u w:val="single"/>
              </w:rPr>
            </w:pPr>
            <w:r>
              <w:rPr>
                <w:rFonts w:hint="eastAsia" w:cs="Times New Roman"/>
                <w:b/>
                <w:bCs/>
                <w:sz w:val="24"/>
                <w:u w:val="single"/>
                <w:lang w:val="en-US" w:eastAsia="zh-CN"/>
              </w:rPr>
              <w:t>12</w:t>
            </w:r>
            <w:r>
              <w:rPr>
                <w:rFonts w:hint="default" w:ascii="Times New Roman" w:hAnsi="Times New Roman" w:cs="Times New Roman"/>
                <w:b/>
                <w:bCs/>
                <w:sz w:val="24"/>
                <w:u w:val="single"/>
              </w:rPr>
              <w:t>）施工单位应根据工程规模，设置相应人数的专职保洁人员，负责工地内及工地围墙外周边10米范围内的环境卫生。对于影响范围大的工程，可视情况扩大施工单位的保洁责任。</w:t>
            </w:r>
          </w:p>
          <w:p>
            <w:pPr>
              <w:pStyle w:val="21"/>
              <w:spacing w:after="0" w:line="520" w:lineRule="exact"/>
              <w:ind w:left="0" w:leftChars="0" w:firstLine="482" w:firstLineChars="200"/>
              <w:jc w:val="left"/>
              <w:rPr>
                <w:rFonts w:hint="default" w:ascii="Times New Roman" w:hAnsi="Times New Roman" w:cs="Times New Roman"/>
                <w:b/>
                <w:bCs/>
                <w:u w:val="single"/>
              </w:rPr>
            </w:pPr>
            <w:r>
              <w:rPr>
                <w:rFonts w:hint="eastAsia" w:cs="Times New Roman"/>
                <w:b/>
                <w:bCs/>
                <w:sz w:val="24"/>
                <w:u w:val="single"/>
                <w:lang w:val="en-US" w:eastAsia="zh-CN"/>
              </w:rPr>
              <w:t>13</w:t>
            </w:r>
            <w:r>
              <w:rPr>
                <w:rFonts w:hint="default" w:ascii="Times New Roman" w:hAnsi="Times New Roman" w:cs="Times New Roman"/>
                <w:b/>
                <w:bCs/>
                <w:sz w:val="24"/>
                <w:u w:val="single"/>
              </w:rPr>
              <w:t>）现有建筑物拆除、挖填方等土石方作业时边洒水边施工，保证100%湿法作业。</w:t>
            </w:r>
          </w:p>
          <w:p>
            <w:pPr>
              <w:spacing w:line="520" w:lineRule="exact"/>
              <w:ind w:firstLine="482" w:firstLineChars="200"/>
              <w:jc w:val="left"/>
              <w:rPr>
                <w:rFonts w:hint="default" w:ascii="Times New Roman" w:hAnsi="Times New Roman" w:cs="Times New Roman"/>
                <w:b/>
                <w:bCs/>
                <w:sz w:val="24"/>
                <w:u w:val="single"/>
              </w:rPr>
            </w:pPr>
            <w:r>
              <w:rPr>
                <w:rFonts w:hint="default" w:ascii="Times New Roman" w:hAnsi="Times New Roman" w:cs="Times New Roman"/>
                <w:b/>
                <w:bCs/>
                <w:sz w:val="24"/>
                <w:u w:val="single"/>
              </w:rPr>
              <w:t>项目施工建设时期的影响属于短期的，在施工期结束后即可消失，因此采取以上措施能够减小对周边环境的影响。</w:t>
            </w:r>
          </w:p>
          <w:p>
            <w:pPr>
              <w:spacing w:line="520" w:lineRule="exact"/>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lang w:eastAsia="zh-CN"/>
              </w:rPr>
              <w:t>）</w:t>
            </w:r>
            <w:r>
              <w:rPr>
                <w:rFonts w:hint="default" w:ascii="Times New Roman" w:hAnsi="Times New Roman" w:eastAsia="宋体" w:cs="Times New Roman"/>
                <w:sz w:val="24"/>
              </w:rPr>
              <w:t>施工机械废气</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期间燃油机械设备较多，且一般采用柴油作为动力。燃柴油的大型施工运输车辆如自卸车、载重汽车等尾气排放量及污染物含量较燃气油车辆高，作业时会产生一些废气，其主要污染物为NOx、CO和THC。施工机械燃料以轻质柴油为主，燃油机械在使用轻质柴油时，燃烧废气中NOx、CO和THC排放量较小，且项目施工场地开阔，施工周期较短，施工期间施工机械布设较分散，产生的污染物经自然扩散浓度很低，对周围大气环境影响较小。</w:t>
            </w:r>
          </w:p>
          <w:p>
            <w:pPr>
              <w:adjustRightInd w:val="0"/>
              <w:snapToGrid w:val="0"/>
              <w:spacing w:line="520" w:lineRule="exact"/>
              <w:ind w:firstLine="480" w:firstLineChars="200"/>
              <w:jc w:val="left"/>
              <w:rPr>
                <w:rFonts w:hint="default" w:ascii="Times New Roman" w:hAnsi="Times New Roman" w:cs="Times New Roman"/>
                <w:b/>
                <w:sz w:val="24"/>
                <w:u w:val="single"/>
              </w:rPr>
            </w:pPr>
            <w:r>
              <w:rPr>
                <w:rFonts w:hint="default" w:ascii="Times New Roman" w:hAnsi="Times New Roman" w:cs="Times New Roman"/>
                <w:b w:val="0"/>
                <w:bCs/>
                <w:sz w:val="24"/>
                <w:u w:val="none"/>
              </w:rPr>
              <w:t>为了进一步改善环境空气质量，有效控制施工机械、车辆尾气污染，评价建议应严格控制施工车辆的质量问题，未取得机动车尾气达标证的车辆，不得投入使用；固定的机械设备、大型运输车辆、推土机等安装尾气净化器；施工现场应合理布置运输车辆行驶路线，配合有关部门搞好施工期间周围道路的交通组织，保证行驶速度，减少怠速时间，以减少机动车尾气的排放，同时加强对施工机械，运输车辆的维修保养，禁上施工机械超负荷工作和运输车辆超载，不得使用劣质燃料，避免排放黑烟。经采取以上措施后，施工机械、车辆尾气对周边环境空气影响较小。</w:t>
            </w:r>
          </w:p>
          <w:p>
            <w:pPr>
              <w:adjustRightInd w:val="0"/>
              <w:snapToGrid w:val="0"/>
              <w:spacing w:line="520" w:lineRule="exact"/>
              <w:ind w:firstLine="480" w:firstLineChars="200"/>
              <w:jc w:val="left"/>
              <w:rPr>
                <w:rFonts w:hint="default" w:ascii="Times New Roman" w:hAnsi="Times New Roman" w:cs="Times New Roman"/>
              </w:rPr>
            </w:pPr>
            <w:r>
              <w:rPr>
                <w:rFonts w:hint="default" w:ascii="Times New Roman" w:hAnsi="Times New Roman" w:cs="Times New Roman"/>
                <w:sz w:val="24"/>
              </w:rPr>
              <w:t>评价认为，经采取相应大气污染防治措施后，可以将施工期大气环境影响降到较小程度，并且施工期的环境影响是暂时的，随着施工期的结束，该影响随之消失，不会对大气环境造成长远影响。</w:t>
            </w:r>
          </w:p>
          <w:p>
            <w:pPr>
              <w:spacing w:line="520" w:lineRule="exact"/>
              <w:ind w:firstLine="480" w:firstLineChars="200"/>
              <w:jc w:val="left"/>
              <w:rPr>
                <w:rFonts w:hint="default" w:ascii="Times New Roman" w:hAnsi="Times New Roman" w:eastAsia="黑体" w:cs="Times New Roman"/>
                <w:sz w:val="24"/>
              </w:rPr>
            </w:pPr>
            <w:r>
              <w:rPr>
                <w:rFonts w:hint="eastAsia" w:eastAsia="黑体" w:cs="Times New Roman"/>
                <w:sz w:val="24"/>
                <w:lang w:val="en-US" w:eastAsia="zh-CN"/>
              </w:rPr>
              <w:t>1.2</w:t>
            </w:r>
            <w:r>
              <w:rPr>
                <w:rFonts w:hint="default" w:ascii="Times New Roman" w:hAnsi="Times New Roman" w:eastAsia="黑体" w:cs="Times New Roman"/>
                <w:sz w:val="24"/>
              </w:rPr>
              <w:t>、废水环境影响分析</w:t>
            </w:r>
          </w:p>
          <w:p>
            <w:pPr>
              <w:spacing w:line="520" w:lineRule="exact"/>
              <w:ind w:firstLine="480" w:firstLineChars="200"/>
              <w:rPr>
                <w:bCs/>
                <w:sz w:val="24"/>
              </w:rPr>
            </w:pPr>
            <w:r>
              <w:rPr>
                <w:bCs/>
                <w:sz w:val="24"/>
              </w:rPr>
              <w:t>（1）生活污水</w:t>
            </w:r>
          </w:p>
          <w:p>
            <w:pPr>
              <w:spacing w:line="520" w:lineRule="exact"/>
              <w:ind w:firstLine="480" w:firstLineChars="200"/>
              <w:rPr>
                <w:bCs/>
                <w:sz w:val="24"/>
              </w:rPr>
            </w:pPr>
            <w:r>
              <w:rPr>
                <w:bCs/>
                <w:sz w:val="24"/>
              </w:rPr>
              <w:t>本项目施工期生活污水主要为施工人员的生活废水，其污染因子主要为</w:t>
            </w:r>
            <w:r>
              <w:rPr>
                <w:sz w:val="24"/>
              </w:rPr>
              <w:t>SS</w:t>
            </w:r>
            <w:r>
              <w:rPr>
                <w:bCs/>
                <w:sz w:val="24"/>
              </w:rPr>
              <w:t>等，无特殊污染因子，在厂区直接泼洒，还可起到防风固沙的作用。项目厕所污水经化粪池处理后用于农田施肥，不外排。由于项目施工期较短，无废水外排，施工期生活污水对周围地表水环境没有影响。</w:t>
            </w:r>
          </w:p>
          <w:p>
            <w:pPr>
              <w:spacing w:line="520" w:lineRule="exact"/>
              <w:ind w:firstLine="480" w:firstLineChars="200"/>
              <w:rPr>
                <w:bCs/>
                <w:sz w:val="24"/>
              </w:rPr>
            </w:pPr>
            <w:r>
              <w:rPr>
                <w:bCs/>
                <w:sz w:val="24"/>
              </w:rPr>
              <w:t>（2）施工废水</w:t>
            </w:r>
          </w:p>
          <w:p>
            <w:pPr>
              <w:spacing w:line="520" w:lineRule="exact"/>
              <w:ind w:firstLine="480" w:firstLineChars="200"/>
              <w:rPr>
                <w:bCs/>
                <w:sz w:val="24"/>
              </w:rPr>
            </w:pPr>
            <w:r>
              <w:rPr>
                <w:bCs/>
                <w:sz w:val="24"/>
              </w:rPr>
              <w:t>施工废水来源于混凝土养护及墙面的冲洗、构件与建筑材料的保湿、材料的拌制等施工工序，以及车辆冲洗、混凝土浇注、养护及施工地面冲洗等，施工现场应设置简易沉淀池（</w:t>
            </w:r>
            <w:r>
              <w:rPr>
                <w:rFonts w:hint="eastAsia"/>
                <w:bCs/>
                <w:sz w:val="24"/>
                <w:lang w:val="en-US" w:eastAsia="zh-CN"/>
              </w:rPr>
              <w:t>2</w:t>
            </w:r>
            <w:r>
              <w:rPr>
                <w:bCs/>
                <w:sz w:val="24"/>
              </w:rPr>
              <w:t>m</w:t>
            </w:r>
            <w:r>
              <w:rPr>
                <w:bCs/>
                <w:sz w:val="24"/>
                <w:vertAlign w:val="superscript"/>
              </w:rPr>
              <w:t>3</w:t>
            </w:r>
            <w:r>
              <w:rPr>
                <w:bCs/>
                <w:sz w:val="24"/>
              </w:rPr>
              <w:t>）沉淀收集施工废水，废水经沉淀池沉淀后回用于施工现场，保证施工废水不外排。施工期施工废水对周边地表水没有影响。</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经采取以上污染防治措施后，项目施工期产生的废水均能得到合理利用不外排，对周围地表水环境影响较小。</w:t>
            </w:r>
          </w:p>
          <w:p>
            <w:pPr>
              <w:spacing w:line="520" w:lineRule="exact"/>
              <w:ind w:firstLine="480" w:firstLineChars="200"/>
              <w:jc w:val="left"/>
              <w:rPr>
                <w:rFonts w:hint="default" w:ascii="Times New Roman" w:hAnsi="Times New Roman" w:eastAsia="黑体" w:cs="Times New Roman"/>
                <w:sz w:val="24"/>
              </w:rPr>
            </w:pPr>
            <w:r>
              <w:rPr>
                <w:rFonts w:hint="eastAsia" w:eastAsia="黑体" w:cs="Times New Roman"/>
                <w:sz w:val="24"/>
                <w:lang w:val="en-US" w:eastAsia="zh-CN"/>
              </w:rPr>
              <w:t>1.3</w:t>
            </w:r>
            <w:r>
              <w:rPr>
                <w:rFonts w:hint="default" w:ascii="Times New Roman" w:hAnsi="Times New Roman" w:eastAsia="黑体" w:cs="Times New Roman"/>
                <w:sz w:val="24"/>
              </w:rPr>
              <w:t>、噪声环境影响分析</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阶段的主要噪声设备有挖掘机、运输车辆等，其中挖土机械多属于点声源，施工作业噪声主要指一些零星的敲打声、装卸车辆的撞击声等，多属于瞬时噪声，施工车辆的噪声属于流动噪声。在这些施工噪声中对环境影响最大的是机械噪声，经调查，典型施工机械开动时噪声源强较高，噪声源强约在80-100dB(A)之间。</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施工过程施工机械产生的噪声多属于中、低频噪声，因此预测时考虑扩散衰减。施工机械一般可看作固定点声源。</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声压级衰减模式为：LA(r)= LA(r</w:t>
            </w:r>
            <w:r>
              <w:rPr>
                <w:rFonts w:hint="default" w:ascii="Times New Roman" w:hAnsi="Times New Roman" w:cs="Times New Roman"/>
                <w:sz w:val="24"/>
                <w:vertAlign w:val="subscript"/>
              </w:rPr>
              <w:t>0</w:t>
            </w:r>
            <w:r>
              <w:rPr>
                <w:rFonts w:hint="default" w:ascii="Times New Roman" w:hAnsi="Times New Roman" w:cs="Times New Roman"/>
                <w:sz w:val="24"/>
              </w:rPr>
              <w:t>)—20lg(r/r</w:t>
            </w:r>
            <w:r>
              <w:rPr>
                <w:rFonts w:hint="default" w:ascii="Times New Roman" w:hAnsi="Times New Roman" w:cs="Times New Roman"/>
                <w:sz w:val="24"/>
                <w:vertAlign w:val="subscript"/>
              </w:rPr>
              <w:t>0</w:t>
            </w:r>
            <w:r>
              <w:rPr>
                <w:rFonts w:hint="default" w:ascii="Times New Roman" w:hAnsi="Times New Roman" w:cs="Times New Roman"/>
                <w:sz w:val="24"/>
              </w:rPr>
              <w:t>)</w:t>
            </w:r>
          </w:p>
          <w:p>
            <w:pPr>
              <w:spacing w:line="52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式中：LA(r)——距离声源r米处的声压级，dB(A)；</w:t>
            </w:r>
          </w:p>
          <w:p>
            <w:pPr>
              <w:spacing w:line="520" w:lineRule="exact"/>
              <w:ind w:firstLine="1200" w:firstLineChars="500"/>
              <w:jc w:val="left"/>
              <w:rPr>
                <w:rFonts w:hint="default" w:ascii="Times New Roman" w:hAnsi="Times New Roman" w:cs="Times New Roman"/>
                <w:sz w:val="24"/>
              </w:rPr>
            </w:pPr>
            <w:r>
              <w:rPr>
                <w:rFonts w:hint="default" w:ascii="Times New Roman" w:hAnsi="Times New Roman" w:cs="Times New Roman"/>
                <w:sz w:val="24"/>
              </w:rPr>
              <w:t>LA(r</w:t>
            </w:r>
            <w:r>
              <w:rPr>
                <w:rFonts w:hint="default" w:ascii="Times New Roman" w:hAnsi="Times New Roman" w:cs="Times New Roman"/>
                <w:sz w:val="24"/>
                <w:vertAlign w:val="subscript"/>
              </w:rPr>
              <w:t>0</w:t>
            </w:r>
            <w:r>
              <w:rPr>
                <w:rFonts w:hint="default" w:ascii="Times New Roman" w:hAnsi="Times New Roman" w:cs="Times New Roman"/>
                <w:sz w:val="24"/>
              </w:rPr>
              <w:t>)——距离声源r</w:t>
            </w:r>
            <w:r>
              <w:rPr>
                <w:rFonts w:hint="default" w:ascii="Times New Roman" w:hAnsi="Times New Roman" w:cs="Times New Roman"/>
                <w:sz w:val="24"/>
                <w:vertAlign w:val="subscript"/>
              </w:rPr>
              <w:t>0</w:t>
            </w:r>
            <w:r>
              <w:rPr>
                <w:rFonts w:hint="default" w:ascii="Times New Roman" w:hAnsi="Times New Roman" w:cs="Times New Roman"/>
                <w:sz w:val="24"/>
              </w:rPr>
              <w:t>米处的声压级，dB(A)；</w:t>
            </w:r>
          </w:p>
          <w:p>
            <w:pPr>
              <w:spacing w:line="520" w:lineRule="exact"/>
              <w:ind w:firstLine="1200" w:firstLineChars="500"/>
              <w:jc w:val="left"/>
              <w:rPr>
                <w:rFonts w:hint="default" w:ascii="Times New Roman" w:hAnsi="Times New Roman" w:cs="Times New Roman"/>
                <w:sz w:val="24"/>
              </w:rPr>
            </w:pPr>
            <w:r>
              <w:rPr>
                <w:rFonts w:hint="default" w:ascii="Times New Roman" w:hAnsi="Times New Roman" w:cs="Times New Roman"/>
                <w:sz w:val="24"/>
              </w:rPr>
              <w:t>r</w:t>
            </w:r>
            <w:r>
              <w:rPr>
                <w:rFonts w:hint="default" w:ascii="Times New Roman" w:hAnsi="Times New Roman" w:cs="Times New Roman"/>
                <w:sz w:val="24"/>
                <w:vertAlign w:val="subscript"/>
              </w:rPr>
              <w:t>0</w:t>
            </w:r>
            <w:r>
              <w:rPr>
                <w:rFonts w:hint="default" w:ascii="Times New Roman" w:hAnsi="Times New Roman" w:cs="Times New Roman"/>
                <w:sz w:val="24"/>
              </w:rPr>
              <w:t>——参考位置，m；</w:t>
            </w:r>
          </w:p>
          <w:p>
            <w:pPr>
              <w:spacing w:line="520" w:lineRule="exact"/>
              <w:ind w:firstLine="1200" w:firstLineChars="500"/>
              <w:jc w:val="left"/>
              <w:rPr>
                <w:rFonts w:hint="default" w:ascii="Times New Roman" w:hAnsi="Times New Roman" w:cs="Times New Roman"/>
                <w:sz w:val="24"/>
              </w:rPr>
            </w:pPr>
            <w:r>
              <w:rPr>
                <w:rFonts w:hint="default" w:ascii="Times New Roman" w:hAnsi="Times New Roman" w:cs="Times New Roman"/>
                <w:sz w:val="24"/>
              </w:rPr>
              <w:t>r——预测点到声源的距离，m。</w:t>
            </w:r>
          </w:p>
          <w:p>
            <w:pPr>
              <w:spacing w:line="520" w:lineRule="exact"/>
              <w:ind w:firstLine="480" w:firstLineChars="200"/>
              <w:rPr>
                <w:rFonts w:hint="default" w:ascii="Times New Roman" w:hAnsi="Times New Roman" w:cs="Times New Roman"/>
                <w:b/>
                <w:bCs/>
                <w:sz w:val="24"/>
                <w:u w:val="single"/>
              </w:rPr>
            </w:pPr>
            <w:r>
              <w:rPr>
                <w:rFonts w:hint="default" w:ascii="Times New Roman" w:hAnsi="Times New Roman" w:cs="Times New Roman"/>
                <w:sz w:val="24"/>
              </w:rPr>
              <w:t>根据噪声点源衰减公式，依据《建筑施工场界环境噪声排放标准》（GB12523-2011）要求，计算出施工机械噪声对边界的影响。由于施工设备的不固定性及噪声排放特点的间歇性，本次预测假设施工设备全部运行，且噪声集中在一个区域内进行最不利影响情况下预测的。施工设备一般都围绕施工建筑主体分布，施工噪声设备距各边界的距离按照项目平面布置中建筑物距边界的距离确定。昼夜间边界达标预测结果见下表。</w:t>
            </w:r>
          </w:p>
          <w:p>
            <w:pPr>
              <w:spacing w:line="520" w:lineRule="exact"/>
              <w:ind w:firstLine="480" w:firstLineChars="200"/>
              <w:jc w:val="left"/>
              <w:rPr>
                <w:rFonts w:hint="default" w:ascii="Times New Roman" w:hAnsi="Times New Roman" w:eastAsia="黑体" w:cs="Times New Roman"/>
                <w:sz w:val="24"/>
              </w:rPr>
            </w:pPr>
            <w:r>
              <w:rPr>
                <w:rFonts w:hint="default" w:ascii="Times New Roman" w:hAnsi="Times New Roman" w:eastAsia="黑体" w:cs="Times New Roman"/>
                <w:color w:val="auto"/>
                <w:sz w:val="24"/>
              </w:rPr>
              <w:t>表</w:t>
            </w:r>
            <w:r>
              <w:rPr>
                <w:rFonts w:hint="eastAsia" w:eastAsia="黑体" w:cs="Times New Roman"/>
                <w:color w:val="auto"/>
                <w:sz w:val="24"/>
                <w:lang w:val="en-US" w:eastAsia="zh-CN"/>
              </w:rPr>
              <w:t>25</w:t>
            </w:r>
            <w:r>
              <w:rPr>
                <w:rFonts w:hint="default" w:ascii="Times New Roman" w:hAnsi="Times New Roman" w:eastAsia="黑体" w:cs="Times New Roman"/>
                <w:color w:val="auto"/>
                <w:sz w:val="24"/>
              </w:rPr>
              <w:t xml:space="preserve"> </w:t>
            </w:r>
            <w:r>
              <w:rPr>
                <w:rFonts w:hint="default" w:ascii="Times New Roman" w:hAnsi="Times New Roman" w:eastAsia="黑体" w:cs="Times New Roman"/>
                <w:color w:val="FF0000"/>
                <w:sz w:val="24"/>
              </w:rPr>
              <w:t xml:space="preserve"> </w:t>
            </w:r>
            <w:r>
              <w:rPr>
                <w:rFonts w:hint="default" w:ascii="Times New Roman" w:hAnsi="Times New Roman" w:eastAsia="黑体" w:cs="Times New Roman"/>
                <w:sz w:val="24"/>
              </w:rPr>
              <w:t xml:space="preserve">              主要施工机械噪声预测结果           单位:dB（A）</w:t>
            </w:r>
          </w:p>
          <w:tbl>
            <w:tblPr>
              <w:tblStyle w:val="3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641"/>
              <w:gridCol w:w="611"/>
              <w:gridCol w:w="595"/>
              <w:gridCol w:w="595"/>
              <w:gridCol w:w="595"/>
              <w:gridCol w:w="595"/>
              <w:gridCol w:w="595"/>
              <w:gridCol w:w="595"/>
              <w:gridCol w:w="728"/>
              <w:gridCol w:w="728"/>
              <w:gridCol w:w="726"/>
              <w:gridCol w:w="72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Merge w:val="restar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声源名称</w:t>
                  </w:r>
                </w:p>
              </w:tc>
              <w:tc>
                <w:tcPr>
                  <w:tcW w:w="350" w:type="pct"/>
                  <w:vMerge w:val="restar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源强</w:t>
                  </w:r>
                </w:p>
              </w:tc>
              <w:tc>
                <w:tcPr>
                  <w:tcW w:w="3712" w:type="pct"/>
                  <w:gridSpan w:val="10"/>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距声源不同距离处的噪声值</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Merge w:val="continue"/>
                  <w:vAlign w:val="center"/>
                </w:tcPr>
                <w:p>
                  <w:pPr>
                    <w:widowControl/>
                    <w:spacing w:line="360" w:lineRule="exact"/>
                    <w:jc w:val="center"/>
                    <w:rPr>
                      <w:rFonts w:hint="default" w:ascii="Times New Roman" w:hAnsi="Times New Roman" w:cs="Times New Roman"/>
                    </w:rPr>
                  </w:pPr>
                </w:p>
              </w:tc>
              <w:tc>
                <w:tcPr>
                  <w:tcW w:w="350" w:type="pct"/>
                  <w:vMerge w:val="continue"/>
                  <w:vAlign w:val="center"/>
                </w:tcPr>
                <w:p>
                  <w:pPr>
                    <w:widowControl/>
                    <w:spacing w:line="360" w:lineRule="exact"/>
                    <w:jc w:val="center"/>
                    <w:rPr>
                      <w:rFonts w:hint="default" w:ascii="Times New Roman" w:hAnsi="Times New Roman" w:cs="Times New Roman"/>
                    </w:rPr>
                  </w:pP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10m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20m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60m</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80m</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100m</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150m</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200m</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300m</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挖掘机</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95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75.0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69.0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65.5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63.0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56.9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51.5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49.0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推土机</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74.0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68.0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64.5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62.0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58.4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54.0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50.5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48.0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装载机</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95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75.0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69.0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65.5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63.0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56.9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51.5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49.0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运输车辆</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85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65.0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55.5</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53.0</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49.4</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46.9</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45.0</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41.5</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39.0</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35.5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39"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贡献叠加值</w:t>
                  </w:r>
                </w:p>
              </w:tc>
              <w:tc>
                <w:tcPr>
                  <w:tcW w:w="350"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79.62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73.62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70.12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67.62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64.02</w:t>
                  </w:r>
                </w:p>
              </w:tc>
              <w:tc>
                <w:tcPr>
                  <w:tcW w:w="341"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61.52</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59.62</w:t>
                  </w:r>
                </w:p>
              </w:tc>
              <w:tc>
                <w:tcPr>
                  <w:tcW w:w="417"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56.12</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53.62</w:t>
                  </w:r>
                </w:p>
              </w:tc>
              <w:tc>
                <w:tcPr>
                  <w:tcW w:w="416" w:type="pct"/>
                  <w:vAlign w:val="center"/>
                </w:tcPr>
                <w:p>
                  <w:pPr>
                    <w:adjustRightInd w:val="0"/>
                    <w:snapToGrid w:val="0"/>
                    <w:spacing w:line="360" w:lineRule="exact"/>
                    <w:jc w:val="center"/>
                    <w:rPr>
                      <w:rFonts w:hint="default" w:ascii="Times New Roman" w:hAnsi="Times New Roman" w:cs="Times New Roman"/>
                    </w:rPr>
                  </w:pPr>
                  <w:r>
                    <w:rPr>
                      <w:rFonts w:hint="default" w:ascii="Times New Roman" w:hAnsi="Times New Roman" w:cs="Times New Roman"/>
                    </w:rPr>
                    <w:t>50.12</w:t>
                  </w:r>
                </w:p>
              </w:tc>
            </w:tr>
          </w:tbl>
          <w:p>
            <w:pPr>
              <w:adjustRightInd w:val="0"/>
              <w:snapToGrid w:val="0"/>
              <w:spacing w:line="500" w:lineRule="exact"/>
              <w:ind w:firstLine="480" w:firstLineChars="200"/>
              <w:jc w:val="left"/>
              <w:rPr>
                <w:rFonts w:hint="default" w:ascii="Times New Roman" w:hAnsi="Times New Roman" w:cs="Times New Roman"/>
                <w:sz w:val="24"/>
              </w:rPr>
            </w:pPr>
            <w:r>
              <w:rPr>
                <w:rFonts w:hint="default" w:ascii="Times New Roman" w:hAnsi="Times New Roman" w:cs="Times New Roman"/>
                <w:sz w:val="24"/>
              </w:rPr>
              <w:t>由上表可知，在施工设备全部运行时，白天距噪声源40m时可满足《建筑施工场界环境噪声排放标准》（GB12523-2011）（昼间70 dB(A)）的排放限值要求；夜晚距噪声源在100m时即可满足《建筑施工场界环境噪声排放标准》（GB12523-2011）（夜间55 dB(A)）的排放限值要求。</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项目区200m范围内</w:t>
            </w:r>
            <w:r>
              <w:rPr>
                <w:rFonts w:hint="default" w:ascii="Times New Roman" w:hAnsi="Times New Roman" w:cs="Times New Roman"/>
                <w:b w:val="0"/>
                <w:bCs w:val="0"/>
                <w:sz w:val="24"/>
                <w:u w:val="none"/>
                <w:lang w:eastAsia="zh-CN"/>
              </w:rPr>
              <w:t>无</w:t>
            </w:r>
            <w:r>
              <w:rPr>
                <w:rFonts w:hint="default" w:ascii="Times New Roman" w:hAnsi="Times New Roman" w:cs="Times New Roman"/>
                <w:b w:val="0"/>
                <w:bCs w:val="0"/>
                <w:sz w:val="24"/>
                <w:u w:val="none"/>
              </w:rPr>
              <w:t>声环境敏感点。评价要求施工布局时高噪声设备布置在施工场地中部，同时评价要求采取以下噪声防治措施：</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1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①</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从声源上控制。建设单位应尽量使用低噪声机械设备，同时应设专人对设备进行定期保养和维护，并负责对现场工作人员进行培训，严格按操作规范使用各类机械。施工现场的电锯、电刨、搅拌机、固定式混凝土输送泵、大型空气压缩机等强噪声设备搭设封闭式机棚，尽量布置在施工场地中部，以减少噪声污染。</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2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②</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合理安排施工时间。禁止夜间（22时至次日6时）施工，确需夜间施工的，应报有关部门批准，并提前在施工区周边公示，避免施工噪声扰民。</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3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③</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采用距离防护措施，在不影响施工情况下将搅拌机等相对固定的强噪声设备尽量移至周边敏感点较远处，保障居民有一个良好的学习、生活环境，尽量远离北部。</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4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④</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在建筑工地四周设立围墙进行围挡，建议不低于8m，阻隔噪声。</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5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⑤</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加强管理。建设管理部门应加强对施工工地的噪声管理，施工企业也应对施工噪声进行自律，文明施工，避免因施工噪声产生纠纷。对人为的施工噪声，建立教育管理制度和降噪措施，并进行严格控制。承担材料运输的车辆，进入施工现场严禁鸣笛．装卸材料应做到轻拿轻放，最大限度地减少噪声扰民。</w:t>
            </w:r>
          </w:p>
          <w:p>
            <w:pPr>
              <w:adjustRightInd w:val="0"/>
              <w:snapToGrid w:val="0"/>
              <w:spacing w:line="500" w:lineRule="exact"/>
              <w:ind w:firstLine="480" w:firstLineChars="200"/>
              <w:jc w:val="left"/>
              <w:rPr>
                <w:rFonts w:hint="default" w:ascii="Times New Roman" w:hAnsi="Times New Roman" w:cs="Times New Roman"/>
                <w:b w:val="0"/>
                <w:bCs w:val="0"/>
                <w:sz w:val="24"/>
                <w:u w:val="none"/>
              </w:rPr>
            </w:pPr>
            <w:r>
              <w:rPr>
                <w:rFonts w:hint="default" w:ascii="Times New Roman" w:hAnsi="Times New Roman" w:cs="Times New Roman"/>
                <w:b w:val="0"/>
                <w:bCs w:val="0"/>
                <w:sz w:val="24"/>
                <w:u w:val="none"/>
              </w:rPr>
              <w:t>⑥施工现场进行噪声值监测，监测方法执行《建筑施工场界噪声测量方法》，噪声值不超过施工场界噪声限值。</w:t>
            </w:r>
          </w:p>
          <w:p>
            <w:pPr>
              <w:adjustRightInd w:val="0"/>
              <w:snapToGrid w:val="0"/>
              <w:spacing w:line="500" w:lineRule="exact"/>
              <w:ind w:firstLine="480" w:firstLineChars="200"/>
              <w:jc w:val="left"/>
              <w:rPr>
                <w:rFonts w:hint="default" w:ascii="Times New Roman" w:hAnsi="Times New Roman" w:cs="Times New Roman"/>
                <w:b w:val="0"/>
                <w:bCs w:val="0"/>
                <w:u w:val="none"/>
              </w:rPr>
            </w:pPr>
            <w:r>
              <w:rPr>
                <w:rFonts w:hint="default" w:ascii="Times New Roman" w:hAnsi="Times New Roman" w:cs="Times New Roman"/>
                <w:b w:val="0"/>
                <w:bCs w:val="0"/>
                <w:sz w:val="24"/>
                <w:u w:val="none"/>
              </w:rPr>
              <w:fldChar w:fldCharType="begin"/>
            </w:r>
            <w:r>
              <w:rPr>
                <w:rFonts w:hint="default" w:ascii="Times New Roman" w:hAnsi="Times New Roman" w:cs="Times New Roman"/>
                <w:b w:val="0"/>
                <w:bCs w:val="0"/>
                <w:sz w:val="24"/>
                <w:u w:val="none"/>
              </w:rPr>
              <w:instrText xml:space="preserve"> = 7 \* GB3 </w:instrText>
            </w:r>
            <w:r>
              <w:rPr>
                <w:rFonts w:hint="default" w:ascii="Times New Roman" w:hAnsi="Times New Roman" w:cs="Times New Roman"/>
                <w:b w:val="0"/>
                <w:bCs w:val="0"/>
                <w:sz w:val="24"/>
                <w:u w:val="none"/>
              </w:rPr>
              <w:fldChar w:fldCharType="separate"/>
            </w:r>
            <w:r>
              <w:rPr>
                <w:rFonts w:hint="default" w:ascii="Times New Roman" w:hAnsi="Times New Roman" w:cs="Times New Roman"/>
                <w:b w:val="0"/>
                <w:bCs w:val="0"/>
                <w:sz w:val="24"/>
                <w:u w:val="none"/>
              </w:rPr>
              <w:t>⑦</w:t>
            </w:r>
            <w:r>
              <w:rPr>
                <w:rFonts w:hint="default" w:ascii="Times New Roman" w:hAnsi="Times New Roman" w:cs="Times New Roman"/>
                <w:b w:val="0"/>
                <w:bCs w:val="0"/>
                <w:sz w:val="24"/>
                <w:u w:val="none"/>
              </w:rPr>
              <w:fldChar w:fldCharType="end"/>
            </w:r>
            <w:r>
              <w:rPr>
                <w:rFonts w:hint="default" w:ascii="Times New Roman" w:hAnsi="Times New Roman" w:cs="Times New Roman"/>
                <w:b w:val="0"/>
                <w:bCs w:val="0"/>
                <w:sz w:val="24"/>
                <w:u w:val="none"/>
              </w:rPr>
              <w:t>建设与施工单位还应与施工场地周围单位、群众建立良好关系，及时让他们了解施工进度及采取的降噪措施，并取得大家的共同理解。</w:t>
            </w:r>
            <w:r>
              <w:rPr>
                <w:rFonts w:hint="default" w:ascii="Times New Roman" w:hAnsi="Times New Roman" w:cs="Times New Roman"/>
                <w:b w:val="0"/>
                <w:bCs w:val="0"/>
                <w:u w:val="none"/>
              </w:rPr>
              <w:t xml:space="preserve">    </w:t>
            </w:r>
          </w:p>
          <w:p>
            <w:pPr>
              <w:pStyle w:val="15"/>
              <w:spacing w:before="0" w:after="0" w:line="520" w:lineRule="exact"/>
              <w:ind w:firstLine="420" w:firstLineChars="200"/>
              <w:jc w:val="left"/>
              <w:rPr>
                <w:rFonts w:hint="default" w:ascii="Times New Roman" w:hAnsi="Times New Roman" w:cs="Times New Roman"/>
                <w:b w:val="0"/>
                <w:bCs w:val="0"/>
                <w:u w:val="none"/>
              </w:rPr>
            </w:pPr>
            <w:r>
              <w:rPr>
                <w:rFonts w:hint="default" w:ascii="Times New Roman" w:hAnsi="Times New Roman" w:cs="Times New Roman"/>
                <w:b w:val="0"/>
                <w:bCs w:val="0"/>
                <w:u w:val="none"/>
              </w:rPr>
              <w:t>在采取上述措施后，施工噪声对环境影响影响不大。</w:t>
            </w:r>
          </w:p>
          <w:p>
            <w:pPr>
              <w:spacing w:line="520" w:lineRule="exact"/>
              <w:ind w:firstLine="480" w:firstLineChars="200"/>
              <w:jc w:val="left"/>
              <w:rPr>
                <w:rFonts w:hint="default" w:ascii="Times New Roman" w:hAnsi="Times New Roman" w:eastAsia="黑体" w:cs="Times New Roman"/>
                <w:sz w:val="24"/>
              </w:rPr>
            </w:pPr>
            <w:r>
              <w:rPr>
                <w:rFonts w:hint="eastAsia" w:eastAsia="黑体" w:cs="Times New Roman"/>
                <w:sz w:val="24"/>
                <w:lang w:val="en-US" w:eastAsia="zh-CN"/>
              </w:rPr>
              <w:t>1.4</w:t>
            </w:r>
            <w:r>
              <w:rPr>
                <w:rFonts w:hint="default" w:ascii="Times New Roman" w:hAnsi="Times New Roman" w:eastAsia="黑体" w:cs="Times New Roman"/>
                <w:sz w:val="24"/>
              </w:rPr>
              <w:t>、固体废物环境影响分析</w:t>
            </w:r>
          </w:p>
          <w:p>
            <w:pPr>
              <w:spacing w:line="520" w:lineRule="exact"/>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lang w:val="en-US" w:eastAsia="zh-CN"/>
              </w:rPr>
              <w:t>（1）</w:t>
            </w:r>
            <w:r>
              <w:rPr>
                <w:rFonts w:hint="default" w:ascii="Times New Roman" w:hAnsi="Times New Roman" w:eastAsia="宋体" w:cs="Times New Roman"/>
                <w:sz w:val="24"/>
              </w:rPr>
              <w:t>生活垃圾</w:t>
            </w:r>
          </w:p>
          <w:p>
            <w:pPr>
              <w:spacing w:line="500" w:lineRule="exact"/>
              <w:ind w:firstLine="482"/>
              <w:rPr>
                <w:rFonts w:hint="default" w:ascii="Times New Roman" w:hAnsi="Times New Roman" w:eastAsia="宋体" w:cs="Times New Roman"/>
                <w:bCs/>
                <w:sz w:val="24"/>
              </w:rPr>
            </w:pPr>
            <w:r>
              <w:rPr>
                <w:rFonts w:hint="default" w:ascii="Times New Roman" w:hAnsi="Times New Roman" w:eastAsia="宋体" w:cs="Times New Roman"/>
                <w:bCs/>
                <w:sz w:val="24"/>
              </w:rPr>
              <w:t>施工人员产生的生活垃圾要收集到垃圾箱内，定期送当地垃圾中转站，不随意排放，不会对周围环境产生影响。</w:t>
            </w:r>
          </w:p>
          <w:p>
            <w:pPr>
              <w:spacing w:line="520" w:lineRule="exact"/>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rPr>
              <w:t>建筑垃圾</w:t>
            </w:r>
          </w:p>
          <w:p>
            <w:pPr>
              <w:spacing w:line="520" w:lineRule="exact"/>
              <w:ind w:firstLine="480"/>
              <w:rPr>
                <w:sz w:val="24"/>
              </w:rPr>
            </w:pPr>
            <w:r>
              <w:rPr>
                <w:rFonts w:hint="default" w:ascii="Times New Roman" w:hAnsi="Times New Roman" w:cs="Times New Roman"/>
                <w:bCs/>
                <w:sz w:val="24"/>
              </w:rPr>
              <w:t>施工期在</w:t>
            </w:r>
            <w:r>
              <w:rPr>
                <w:rFonts w:hint="eastAsia" w:cs="Times New Roman"/>
                <w:bCs/>
                <w:sz w:val="24"/>
                <w:lang w:eastAsia="zh-CN"/>
              </w:rPr>
              <w:t>车间密封</w:t>
            </w:r>
            <w:r>
              <w:rPr>
                <w:rFonts w:hint="default" w:ascii="Times New Roman" w:hAnsi="Times New Roman" w:cs="Times New Roman"/>
                <w:bCs/>
                <w:sz w:val="24"/>
              </w:rPr>
              <w:t>过程中会产生建筑垃圾，主要包括废建材、废包装材料等，不能将其随处乱丢乱放，产生的金属结构钢材等可外售资源化利用，</w:t>
            </w:r>
            <w:r>
              <w:rPr>
                <w:rFonts w:hint="eastAsia" w:cs="Times New Roman"/>
                <w:bCs/>
                <w:sz w:val="24"/>
                <w:lang w:eastAsia="zh-CN"/>
              </w:rPr>
              <w:t>沉淀池开挖产生的少量土方，可用于厂区道路的平整，</w:t>
            </w:r>
            <w:r>
              <w:rPr>
                <w:sz w:val="24"/>
              </w:rPr>
              <w:t>不会产生弃土外运。</w:t>
            </w:r>
          </w:p>
          <w:p>
            <w:pPr>
              <w:pStyle w:val="88"/>
              <w:spacing w:line="520" w:lineRule="exact"/>
              <w:ind w:firstLine="480" w:firstLineChars="200"/>
              <w:rPr>
                <w:sz w:val="24"/>
                <w:lang w:val="en-US" w:eastAsia="zh-CN"/>
              </w:rPr>
            </w:pPr>
            <w:r>
              <w:rPr>
                <w:rFonts w:hint="default" w:ascii="Times New Roman" w:hAnsi="Times New Roman" w:cs="Times New Roman"/>
                <w:b w:val="0"/>
                <w:bCs/>
                <w:u w:val="none"/>
              </w:rPr>
              <w:t>项目施工期固体废弃物均得到合理处置，不会对周边环境产生较大影响。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946" w:type="dxa"/>
            <w:tcBorders>
              <w:top w:val="single" w:color="auto" w:sz="6" w:space="0"/>
            </w:tcBorders>
            <w:noWrap/>
          </w:tcPr>
          <w:p>
            <w:pPr>
              <w:spacing w:line="520" w:lineRule="exact"/>
              <w:rPr>
                <w:b/>
                <w:sz w:val="24"/>
              </w:rPr>
            </w:pPr>
            <w:r>
              <w:rPr>
                <w:b/>
                <w:sz w:val="24"/>
              </w:rPr>
              <w:t>运营期环境影响分析：</w:t>
            </w:r>
          </w:p>
          <w:p>
            <w:pPr>
              <w:spacing w:line="520" w:lineRule="exact"/>
              <w:ind w:firstLine="480" w:firstLineChars="200"/>
              <w:rPr>
                <w:rFonts w:eastAsia="黑体"/>
                <w:sz w:val="24"/>
              </w:rPr>
            </w:pPr>
            <w:r>
              <w:rPr>
                <w:rFonts w:eastAsia="黑体"/>
                <w:sz w:val="24"/>
              </w:rPr>
              <w:t>一、大气环境影响分析</w:t>
            </w:r>
          </w:p>
          <w:p>
            <w:pPr>
              <w:spacing w:line="520" w:lineRule="exact"/>
              <w:ind w:firstLine="465"/>
              <w:rPr>
                <w:sz w:val="24"/>
              </w:rPr>
            </w:pPr>
            <w:r>
              <w:rPr>
                <w:sz w:val="24"/>
              </w:rPr>
              <w:t>项目运营期废气主要为</w:t>
            </w:r>
            <w:r>
              <w:rPr>
                <w:rFonts w:hint="eastAsia"/>
                <w:sz w:val="24"/>
                <w:lang w:eastAsia="zh-CN"/>
              </w:rPr>
              <w:t>生产过程中产生的颗粒物、运输车辆尾气</w:t>
            </w:r>
            <w:r>
              <w:rPr>
                <w:sz w:val="24"/>
              </w:rPr>
              <w:t>及食堂油烟。</w:t>
            </w:r>
          </w:p>
          <w:p>
            <w:pPr>
              <w:spacing w:line="520" w:lineRule="exact"/>
              <w:ind w:firstLine="465"/>
              <w:rPr>
                <w:sz w:val="24"/>
              </w:rPr>
            </w:pPr>
            <w:r>
              <w:rPr>
                <w:rFonts w:hint="eastAsia"/>
                <w:sz w:val="24"/>
              </w:rPr>
              <w:t>1、</w:t>
            </w:r>
            <w:r>
              <w:rPr>
                <w:sz w:val="24"/>
              </w:rPr>
              <w:t>废气排放达标分析</w:t>
            </w:r>
          </w:p>
          <w:p>
            <w:pPr>
              <w:spacing w:line="520" w:lineRule="exact"/>
              <w:ind w:firstLine="480" w:firstLineChars="200"/>
              <w:rPr>
                <w:sz w:val="24"/>
              </w:rPr>
            </w:pPr>
            <w:r>
              <w:rPr>
                <w:sz w:val="24"/>
              </w:rPr>
              <w:t>1）有组织</w:t>
            </w:r>
          </w:p>
          <w:p>
            <w:pPr>
              <w:spacing w:line="520" w:lineRule="exact"/>
              <w:ind w:firstLine="480" w:firstLineChars="200"/>
              <w:rPr>
                <w:color w:val="FF0000"/>
                <w:spacing w:val="-6"/>
                <w:sz w:val="24"/>
              </w:rPr>
            </w:pPr>
            <w:r>
              <w:rPr>
                <w:color w:val="auto"/>
                <w:sz w:val="24"/>
              </w:rPr>
              <w:t>根据工程分析情况，项目运营期水泥罐</w:t>
            </w:r>
            <w:r>
              <w:rPr>
                <w:rFonts w:hint="eastAsia"/>
                <w:color w:val="auto"/>
                <w:sz w:val="24"/>
                <w:lang w:eastAsia="zh-CN"/>
              </w:rPr>
              <w:t>仓及粉煤灰</w:t>
            </w:r>
            <w:r>
              <w:rPr>
                <w:color w:val="auto"/>
                <w:sz w:val="24"/>
              </w:rPr>
              <w:t>罐</w:t>
            </w:r>
            <w:r>
              <w:rPr>
                <w:rFonts w:hint="eastAsia"/>
                <w:color w:val="auto"/>
                <w:sz w:val="24"/>
                <w:lang w:eastAsia="zh-CN"/>
              </w:rPr>
              <w:t>仓颗粒物经仓顶除尘器处理后引入</w:t>
            </w:r>
            <w:r>
              <w:rPr>
                <w:rFonts w:hint="eastAsia"/>
                <w:color w:val="auto"/>
                <w:spacing w:val="-6"/>
                <w:sz w:val="24"/>
                <w:lang w:eastAsia="zh-CN"/>
              </w:rPr>
              <w:t>投料、搅拌配套安装的袋式除尘器内，投料、搅拌产生的颗粒物经配套除尘器处理后经</w:t>
            </w:r>
            <w:r>
              <w:rPr>
                <w:rFonts w:hint="eastAsia"/>
                <w:color w:val="auto"/>
                <w:spacing w:val="-6"/>
                <w:sz w:val="24"/>
                <w:lang w:val="en-US" w:eastAsia="zh-CN"/>
              </w:rPr>
              <w:t>15m高排气筒排放。有组织</w:t>
            </w:r>
            <w:r>
              <w:rPr>
                <w:rFonts w:hint="eastAsia"/>
                <w:color w:val="auto"/>
                <w:spacing w:val="-6"/>
                <w:sz w:val="24"/>
                <w:lang w:eastAsia="zh-CN"/>
              </w:rPr>
              <w:t>颗粒物</w:t>
            </w:r>
            <w:r>
              <w:rPr>
                <w:color w:val="auto"/>
                <w:sz w:val="24"/>
              </w:rPr>
              <w:t>排放量为</w:t>
            </w:r>
            <w:r>
              <w:rPr>
                <w:rFonts w:hint="eastAsia"/>
                <w:color w:val="auto"/>
                <w:spacing w:val="-6"/>
                <w:sz w:val="24"/>
                <w:lang w:val="en-US" w:eastAsia="zh-CN"/>
              </w:rPr>
              <w:t>0.181</w:t>
            </w:r>
            <w:r>
              <w:rPr>
                <w:color w:val="auto"/>
                <w:spacing w:val="-6"/>
                <w:sz w:val="24"/>
              </w:rPr>
              <w:t>t/a、排放浓度</w:t>
            </w:r>
            <w:r>
              <w:rPr>
                <w:rFonts w:hint="eastAsia"/>
                <w:color w:val="auto"/>
                <w:spacing w:val="-6"/>
                <w:sz w:val="24"/>
                <w:lang w:val="en-US" w:eastAsia="zh-CN"/>
              </w:rPr>
              <w:t>7.5</w:t>
            </w:r>
            <w:r>
              <w:rPr>
                <w:color w:val="auto"/>
                <w:spacing w:val="-6"/>
                <w:sz w:val="24"/>
              </w:rPr>
              <w:t>mg/m</w:t>
            </w:r>
            <w:r>
              <w:rPr>
                <w:color w:val="auto"/>
                <w:spacing w:val="-6"/>
                <w:sz w:val="24"/>
                <w:vertAlign w:val="superscript"/>
              </w:rPr>
              <w:t>3</w:t>
            </w:r>
            <w:r>
              <w:rPr>
                <w:color w:val="auto"/>
                <w:spacing w:val="-6"/>
                <w:sz w:val="24"/>
              </w:rPr>
              <w:t>，其有组织</w:t>
            </w:r>
            <w:r>
              <w:rPr>
                <w:rFonts w:hint="eastAsia"/>
                <w:color w:val="auto"/>
                <w:spacing w:val="-6"/>
                <w:sz w:val="24"/>
                <w:lang w:eastAsia="zh-CN"/>
              </w:rPr>
              <w:t>颗粒物</w:t>
            </w:r>
            <w:r>
              <w:rPr>
                <w:color w:val="auto"/>
                <w:spacing w:val="-6"/>
                <w:sz w:val="24"/>
              </w:rPr>
              <w:t>排放浓度</w:t>
            </w:r>
            <w:r>
              <w:rPr>
                <w:color w:val="auto"/>
                <w:sz w:val="24"/>
              </w:rPr>
              <w:t>满足</w:t>
            </w:r>
            <w:r>
              <w:rPr>
                <w:rFonts w:hint="eastAsia"/>
                <w:color w:val="auto"/>
                <w:sz w:val="24"/>
                <w:lang w:eastAsia="zh-CN"/>
              </w:rPr>
              <w:t>河南省地方标准</w:t>
            </w:r>
            <w:r>
              <w:rPr>
                <w:color w:val="auto"/>
                <w:sz w:val="24"/>
              </w:rPr>
              <w:t>《水泥工业大气污染物排放标准》（</w:t>
            </w:r>
            <w:r>
              <w:rPr>
                <w:rFonts w:hint="eastAsia"/>
                <w:color w:val="auto"/>
                <w:sz w:val="24"/>
                <w:lang w:val="en-US" w:eastAsia="zh-CN"/>
              </w:rPr>
              <w:t>D</w:t>
            </w:r>
            <w:r>
              <w:rPr>
                <w:color w:val="auto"/>
                <w:sz w:val="24"/>
              </w:rPr>
              <w:t>B</w:t>
            </w:r>
            <w:r>
              <w:rPr>
                <w:rFonts w:hint="eastAsia"/>
                <w:color w:val="auto"/>
                <w:sz w:val="24"/>
                <w:lang w:val="en-US" w:eastAsia="zh-CN"/>
              </w:rPr>
              <w:t>41/1953</w:t>
            </w:r>
            <w:r>
              <w:rPr>
                <w:color w:val="auto"/>
                <w:sz w:val="24"/>
              </w:rPr>
              <w:t>-</w:t>
            </w:r>
            <w:r>
              <w:rPr>
                <w:rFonts w:hint="eastAsia"/>
                <w:color w:val="auto"/>
                <w:sz w:val="24"/>
                <w:lang w:val="en-US" w:eastAsia="zh-CN"/>
              </w:rPr>
              <w:t>2020</w:t>
            </w:r>
            <w:r>
              <w:rPr>
                <w:color w:val="auto"/>
                <w:sz w:val="24"/>
              </w:rPr>
              <w:t>）表1标准</w:t>
            </w:r>
            <w:r>
              <w:rPr>
                <w:color w:val="auto"/>
                <w:spacing w:val="-6"/>
                <w:sz w:val="24"/>
              </w:rPr>
              <w:t>有组织排放浓度限值要求（</w:t>
            </w:r>
            <w:r>
              <w:rPr>
                <w:bCs/>
                <w:color w:val="auto"/>
                <w:sz w:val="24"/>
              </w:rPr>
              <w:t>排放浓度限值为</w:t>
            </w:r>
            <w:r>
              <w:rPr>
                <w:rFonts w:hint="eastAsia"/>
                <w:bCs/>
                <w:color w:val="auto"/>
                <w:sz w:val="24"/>
                <w:lang w:val="en-US" w:eastAsia="zh-CN"/>
              </w:rPr>
              <w:t>10</w:t>
            </w:r>
            <w:r>
              <w:rPr>
                <w:bCs/>
                <w:color w:val="auto"/>
                <w:sz w:val="24"/>
              </w:rPr>
              <w:t>mg/m</w:t>
            </w:r>
            <w:r>
              <w:rPr>
                <w:bCs/>
                <w:color w:val="auto"/>
                <w:sz w:val="24"/>
                <w:vertAlign w:val="superscript"/>
              </w:rPr>
              <w:t>3</w:t>
            </w:r>
            <w:r>
              <w:rPr>
                <w:color w:val="auto"/>
                <w:spacing w:val="-6"/>
                <w:sz w:val="24"/>
              </w:rPr>
              <w:t>）。</w:t>
            </w:r>
          </w:p>
          <w:p>
            <w:pPr>
              <w:pStyle w:val="19"/>
              <w:spacing w:line="520" w:lineRule="exact"/>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本项目食堂设1个基准灶头为职工提供就餐，规模属于小型食堂，油烟和去除效率均符合《餐饮业油烟污染物排放标准》（DB41/1604-2018）中小型类标准限值要求。</w:t>
            </w:r>
          </w:p>
          <w:p>
            <w:pPr>
              <w:numPr>
                <w:ilvl w:val="0"/>
                <w:numId w:val="10"/>
                <w:numberingChange w:id="0" w:author="User" w:date="2018-01-04T16:12:00Z" w:original="%1:2:0:）"/>
              </w:numPr>
              <w:spacing w:line="520" w:lineRule="exact"/>
              <w:ind w:firstLine="480" w:firstLineChars="200"/>
              <w:rPr>
                <w:kern w:val="28"/>
                <w:sz w:val="24"/>
                <w:szCs w:val="28"/>
              </w:rPr>
            </w:pPr>
            <w:r>
              <w:rPr>
                <w:kern w:val="28"/>
                <w:sz w:val="24"/>
                <w:szCs w:val="28"/>
              </w:rPr>
              <w:t>无组织</w:t>
            </w:r>
          </w:p>
          <w:p>
            <w:pPr>
              <w:spacing w:line="520" w:lineRule="exact"/>
              <w:ind w:firstLine="482"/>
              <w:rPr>
                <w:sz w:val="24"/>
              </w:rPr>
            </w:pPr>
            <w:r>
              <w:rPr>
                <w:kern w:val="28"/>
                <w:sz w:val="24"/>
                <w:szCs w:val="28"/>
              </w:rPr>
              <w:t>根据工程分析，</w:t>
            </w:r>
            <w:r>
              <w:rPr>
                <w:sz w:val="24"/>
              </w:rPr>
              <w:t>本项目水泥</w:t>
            </w:r>
            <w:r>
              <w:rPr>
                <w:rFonts w:hint="eastAsia"/>
                <w:sz w:val="24"/>
                <w:lang w:eastAsia="zh-CN"/>
              </w:rPr>
              <w:t>、粉煤灰</w:t>
            </w:r>
            <w:r>
              <w:rPr>
                <w:sz w:val="24"/>
              </w:rPr>
              <w:t>采用储罐储存，储存过程不产生</w:t>
            </w:r>
            <w:r>
              <w:rPr>
                <w:rFonts w:hint="eastAsia"/>
                <w:sz w:val="24"/>
                <w:lang w:eastAsia="zh-CN"/>
              </w:rPr>
              <w:t>颗粒物</w:t>
            </w:r>
            <w:r>
              <w:rPr>
                <w:sz w:val="24"/>
              </w:rPr>
              <w:t>；沙子和石沫全部储存于封闭原料仓库内；厂区不设置露天堆场，不露天堆放原料。同时评价要求原料仓库设置自动</w:t>
            </w:r>
            <w:r>
              <w:rPr>
                <w:rFonts w:hint="eastAsia"/>
                <w:sz w:val="24"/>
                <w:lang w:eastAsia="zh-CN"/>
              </w:rPr>
              <w:t>喷干雾</w:t>
            </w:r>
            <w:r>
              <w:rPr>
                <w:sz w:val="24"/>
              </w:rPr>
              <w:t>装置，</w:t>
            </w:r>
            <w:r>
              <w:rPr>
                <w:rFonts w:hint="eastAsia"/>
                <w:sz w:val="24"/>
                <w:lang w:eastAsia="zh-CN"/>
              </w:rPr>
              <w:t>覆盖</w:t>
            </w:r>
            <w:r>
              <w:rPr>
                <w:sz w:val="24"/>
              </w:rPr>
              <w:t>面积达到100%，同时减小物料装卸落差，在物料装卸点安装</w:t>
            </w:r>
            <w:r>
              <w:rPr>
                <w:rFonts w:hint="eastAsia"/>
                <w:sz w:val="24"/>
                <w:lang w:eastAsia="zh-CN"/>
              </w:rPr>
              <w:t>喷干雾</w:t>
            </w:r>
            <w:r>
              <w:rPr>
                <w:sz w:val="24"/>
              </w:rPr>
              <w:t>装置，以减小</w:t>
            </w:r>
            <w:r>
              <w:rPr>
                <w:rFonts w:hint="eastAsia"/>
                <w:sz w:val="24"/>
                <w:lang w:eastAsia="zh-CN"/>
              </w:rPr>
              <w:t>颗粒物</w:t>
            </w:r>
            <w:r>
              <w:rPr>
                <w:sz w:val="24"/>
              </w:rPr>
              <w:t>的产生量，降低对周围环境的影响。</w:t>
            </w:r>
          </w:p>
          <w:p>
            <w:pPr>
              <w:spacing w:line="520" w:lineRule="exact"/>
              <w:ind w:firstLine="480" w:firstLineChars="200"/>
              <w:rPr>
                <w:rFonts w:hint="eastAsia"/>
                <w:sz w:val="24"/>
              </w:rPr>
            </w:pPr>
            <w:r>
              <w:rPr>
                <w:rFonts w:hint="eastAsia"/>
                <w:sz w:val="24"/>
                <w:lang w:eastAsia="zh-CN"/>
              </w:rPr>
              <w:t>项目</w:t>
            </w:r>
            <w:r>
              <w:rPr>
                <w:sz w:val="24"/>
              </w:rPr>
              <w:t>其无组织主要是</w:t>
            </w:r>
            <w:r>
              <w:rPr>
                <w:rFonts w:hint="eastAsia"/>
                <w:sz w:val="24"/>
                <w:lang w:eastAsia="zh-CN"/>
              </w:rPr>
              <w:t>骨料装卸产生的颗粒物，物料输送、投料及搅拌未收集的颗粒物，</w:t>
            </w:r>
            <w:r>
              <w:rPr>
                <w:sz w:val="24"/>
              </w:rPr>
              <w:t>其</w:t>
            </w:r>
            <w:r>
              <w:rPr>
                <w:rFonts w:hint="eastAsia"/>
                <w:sz w:val="24"/>
                <w:lang w:eastAsia="zh-CN"/>
              </w:rPr>
              <w:t>总排放量为</w:t>
            </w:r>
            <w:r>
              <w:rPr>
                <w:sz w:val="24"/>
              </w:rPr>
              <w:t>为</w:t>
            </w:r>
            <w:r>
              <w:rPr>
                <w:rFonts w:hint="eastAsia"/>
                <w:sz w:val="24"/>
                <w:lang w:val="en-US" w:eastAsia="zh-CN"/>
              </w:rPr>
              <w:t>0.137</w:t>
            </w:r>
            <w:r>
              <w:rPr>
                <w:sz w:val="24"/>
              </w:rPr>
              <w:t>t/a</w:t>
            </w:r>
            <w:r>
              <w:rPr>
                <w:rFonts w:hint="eastAsia"/>
                <w:sz w:val="24"/>
                <w:lang w:eastAsia="zh-CN"/>
              </w:rPr>
              <w:t>、</w:t>
            </w:r>
            <w:r>
              <w:rPr>
                <w:rFonts w:hint="eastAsia"/>
                <w:sz w:val="24"/>
                <w:lang w:val="en-US" w:eastAsia="zh-CN"/>
              </w:rPr>
              <w:t>0.057kg/h</w:t>
            </w:r>
            <w:r>
              <w:rPr>
                <w:rFonts w:hint="eastAsia"/>
                <w:sz w:val="24"/>
              </w:rPr>
              <w:t>。</w:t>
            </w:r>
          </w:p>
          <w:p>
            <w:pPr>
              <w:spacing w:line="520" w:lineRule="exact"/>
              <w:ind w:firstLine="480" w:firstLineChars="200"/>
              <w:rPr>
                <w:sz w:val="24"/>
              </w:rPr>
            </w:pPr>
            <w:r>
              <w:rPr>
                <w:sz w:val="24"/>
              </w:rPr>
              <w:t>运输道路扬尘，</w:t>
            </w:r>
            <w:r>
              <w:rPr>
                <w:rFonts w:hint="eastAsia"/>
                <w:sz w:val="24"/>
                <w:lang w:eastAsia="zh-CN"/>
              </w:rPr>
              <w:t>经采取相应的措施后</w:t>
            </w:r>
            <w:r>
              <w:rPr>
                <w:sz w:val="24"/>
              </w:rPr>
              <w:t>排放量为</w:t>
            </w:r>
            <w:r>
              <w:rPr>
                <w:rFonts w:hint="eastAsia"/>
                <w:sz w:val="24"/>
                <w:lang w:val="en-US" w:eastAsia="zh-CN"/>
              </w:rPr>
              <w:t>0.016</w:t>
            </w:r>
            <w:r>
              <w:rPr>
                <w:sz w:val="24"/>
              </w:rPr>
              <w:t>t/a</w:t>
            </w:r>
            <w:r>
              <w:rPr>
                <w:rFonts w:hint="eastAsia"/>
                <w:sz w:val="24"/>
              </w:rPr>
              <w:t>。</w:t>
            </w:r>
          </w:p>
          <w:p>
            <w:pPr>
              <w:spacing w:line="520" w:lineRule="exact"/>
              <w:ind w:left="420" w:left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2</w:t>
            </w:r>
            <w:r>
              <w:rPr>
                <w:rFonts w:hint="eastAsia"/>
                <w:color w:val="000000" w:themeColor="text1"/>
                <w:sz w:val="24"/>
                <w14:textFill>
                  <w14:solidFill>
                    <w14:schemeClr w14:val="tx1"/>
                  </w14:solidFill>
                </w14:textFill>
              </w:rPr>
              <w:t>、大气预测</w:t>
            </w:r>
            <w:r>
              <w:rPr>
                <w:rFonts w:hint="eastAsia"/>
                <w:sz w:val="24"/>
              </w:rPr>
              <w:t>评价</w:t>
            </w:r>
          </w:p>
          <w:p>
            <w:pPr>
              <w:spacing w:line="520" w:lineRule="exact"/>
              <w:ind w:firstLine="480" w:firstLineChars="200"/>
              <w:rPr>
                <w:sz w:val="24"/>
              </w:rPr>
            </w:pPr>
            <w:r>
              <w:rPr>
                <w:rFonts w:hint="eastAsia" w:cs="宋体"/>
                <w:sz w:val="24"/>
              </w:rPr>
              <w:t>（</w:t>
            </w:r>
            <w:r>
              <w:rPr>
                <w:rFonts w:hint="eastAsia"/>
                <w:sz w:val="24"/>
                <w:lang w:val="en-US" w:eastAsia="zh-CN"/>
              </w:rPr>
              <w:t>1</w:t>
            </w:r>
            <w:r>
              <w:rPr>
                <w:rFonts w:hint="eastAsia" w:cs="宋体"/>
                <w:sz w:val="24"/>
              </w:rPr>
              <w:t>）参数选取</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bCs/>
                <w:sz w:val="24"/>
              </w:rPr>
            </w:pPr>
            <w:r>
              <w:rPr>
                <w:bCs/>
                <w:sz w:val="24"/>
              </w:rPr>
              <w:t>运输扬尘属于移动源，在采取洒水抑尘降尘后，对外环境影响很小。本次评价仅对</w:t>
            </w:r>
            <w:r>
              <w:rPr>
                <w:rFonts w:hint="eastAsia"/>
                <w:bCs/>
                <w:sz w:val="24"/>
                <w:lang w:eastAsia="zh-CN"/>
              </w:rPr>
              <w:t>生产车间</w:t>
            </w:r>
            <w:r>
              <w:rPr>
                <w:rFonts w:hint="eastAsia"/>
                <w:bCs/>
                <w:sz w:val="24"/>
              </w:rPr>
              <w:t>有组织排放及生产车间无组织排放</w:t>
            </w:r>
            <w:r>
              <w:rPr>
                <w:bCs/>
                <w:sz w:val="24"/>
              </w:rPr>
              <w:t>进行预测分析。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sz w:val="24"/>
              </w:rPr>
            </w:pPr>
            <w:r>
              <w:rPr>
                <w:rFonts w:hint="eastAsia" w:cs="宋体"/>
                <w:sz w:val="24"/>
              </w:rPr>
              <w:t>评价根据《环境影响评价技术导则</w:t>
            </w:r>
            <w:r>
              <w:rPr>
                <w:sz w:val="24"/>
              </w:rPr>
              <w:t>·</w:t>
            </w:r>
            <w:r>
              <w:rPr>
                <w:rFonts w:hint="eastAsia" w:cs="宋体"/>
                <w:sz w:val="24"/>
              </w:rPr>
              <w:t>大气环境》</w:t>
            </w:r>
            <w:r>
              <w:rPr>
                <w:sz w:val="24"/>
              </w:rPr>
              <w:t>HJ2.2-2018</w:t>
            </w:r>
            <w:r>
              <w:rPr>
                <w:rFonts w:hint="eastAsia" w:cs="宋体"/>
                <w:sz w:val="24"/>
              </w:rPr>
              <w:t>规定，采用推荐的估算模式对其进行预测。本项目估算模式参数选取见下表。</w:t>
            </w:r>
          </w:p>
          <w:p>
            <w:pPr>
              <w:spacing w:line="520" w:lineRule="exact"/>
              <w:ind w:firstLine="465"/>
              <w:rPr>
                <w:rFonts w:eastAsia="黑体"/>
                <w:b w:val="0"/>
                <w:bCs w:val="0"/>
                <w:color w:val="auto"/>
                <w:sz w:val="24"/>
                <w:u w:val="none"/>
              </w:rPr>
            </w:pPr>
            <w:r>
              <w:rPr>
                <w:rFonts w:eastAsia="黑体"/>
                <w:b w:val="0"/>
                <w:bCs w:val="0"/>
                <w:color w:val="auto"/>
                <w:sz w:val="24"/>
                <w:u w:val="none"/>
              </w:rPr>
              <w:t>表</w:t>
            </w:r>
            <w:r>
              <w:rPr>
                <w:rFonts w:hint="eastAsia" w:eastAsia="黑体"/>
                <w:b w:val="0"/>
                <w:bCs w:val="0"/>
                <w:color w:val="auto"/>
                <w:sz w:val="24"/>
                <w:u w:val="none"/>
                <w:lang w:val="en-US" w:eastAsia="zh-CN"/>
              </w:rPr>
              <w:t>26</w:t>
            </w:r>
            <w:r>
              <w:rPr>
                <w:rFonts w:eastAsia="黑体"/>
                <w:b w:val="0"/>
                <w:bCs w:val="0"/>
                <w:color w:val="auto"/>
                <w:sz w:val="24"/>
                <w:u w:val="none"/>
              </w:rPr>
              <w:t xml:space="preserve">                      项目估算模型参数表</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2841"/>
              <w:gridCol w:w="3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参数</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城市/农村选项</w:t>
                  </w: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城市/农村</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人口数（城市选项时）</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最高环境温度/℃</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rPr>
                    <w:t>4</w:t>
                  </w:r>
                  <w:r>
                    <w:rPr>
                      <w:rFonts w:hint="default" w:ascii="Times New Roman" w:hAnsi="Times New Roman" w:cs="Times New Roman"/>
                      <w:sz w:val="21"/>
                      <w:szCs w:val="21"/>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最低环境温度/℃</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土地利用类型</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农作地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区域湿度条件</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中等湿度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是否考虑地形</w:t>
                  </w: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考虑地形</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地形数据分辨率/m</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是否考虑岸线熏烟</w:t>
                  </w: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考虑岸线熏烟</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岸线距离/m</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岸线方向/°</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eastAsia"/>
                <w:sz w:val="24"/>
                <w:szCs w:val="24"/>
                <w:lang w:eastAsia="zh-CN"/>
              </w:rPr>
              <w:t>根据污染源分析，废气污染物排放点源、面源排放参数详见表</w:t>
            </w:r>
            <w:r>
              <w:rPr>
                <w:rFonts w:hint="eastAsia"/>
                <w:sz w:val="24"/>
                <w:szCs w:val="24"/>
                <w:lang w:val="en-US" w:eastAsia="zh-CN"/>
              </w:rPr>
              <w:t>27、表28。</w:t>
            </w:r>
          </w:p>
          <w:p>
            <w:pPr>
              <w:spacing w:line="520" w:lineRule="exact"/>
              <w:ind w:firstLine="465"/>
              <w:rPr>
                <w:rFonts w:hint="eastAsia" w:eastAsia="黑体"/>
                <w:b w:val="0"/>
                <w:bCs w:val="0"/>
                <w:color w:val="auto"/>
                <w:sz w:val="24"/>
                <w:u w:val="none"/>
                <w:lang w:eastAsia="zh-CN"/>
              </w:rPr>
            </w:pPr>
            <w:r>
              <w:rPr>
                <w:rFonts w:eastAsia="黑体"/>
                <w:b w:val="0"/>
                <w:bCs w:val="0"/>
                <w:color w:val="auto"/>
                <w:sz w:val="24"/>
                <w:u w:val="none"/>
              </w:rPr>
              <w:t>表</w:t>
            </w:r>
            <w:r>
              <w:rPr>
                <w:rFonts w:hint="eastAsia" w:eastAsia="黑体"/>
                <w:b w:val="0"/>
                <w:bCs w:val="0"/>
                <w:color w:val="auto"/>
                <w:sz w:val="24"/>
                <w:u w:val="none"/>
                <w:lang w:val="en-US" w:eastAsia="zh-CN"/>
              </w:rPr>
              <w:t>27</w:t>
            </w:r>
            <w:r>
              <w:rPr>
                <w:rFonts w:eastAsia="黑体"/>
                <w:b w:val="0"/>
                <w:bCs w:val="0"/>
                <w:color w:val="auto"/>
                <w:sz w:val="24"/>
                <w:u w:val="none"/>
              </w:rPr>
              <w:t xml:space="preserve">                  </w:t>
            </w:r>
            <w:r>
              <w:rPr>
                <w:rFonts w:hint="eastAsia" w:eastAsia="黑体"/>
                <w:b w:val="0"/>
                <w:bCs w:val="0"/>
                <w:color w:val="auto"/>
                <w:sz w:val="24"/>
                <w:u w:val="none"/>
                <w:lang w:eastAsia="zh-CN"/>
              </w:rPr>
              <w:t>厂区点源输入</w:t>
            </w:r>
            <w:r>
              <w:rPr>
                <w:rFonts w:eastAsia="黑体"/>
                <w:b w:val="0"/>
                <w:bCs w:val="0"/>
                <w:color w:val="auto"/>
                <w:sz w:val="24"/>
                <w:u w:val="none"/>
              </w:rPr>
              <w:t>参数</w:t>
            </w:r>
            <w:r>
              <w:rPr>
                <w:rFonts w:hint="eastAsia" w:eastAsia="黑体"/>
                <w:b w:val="0"/>
                <w:bCs w:val="0"/>
                <w:color w:val="auto"/>
                <w:sz w:val="24"/>
                <w:u w:val="none"/>
                <w:lang w:eastAsia="zh-CN"/>
              </w:rPr>
              <w:t>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636"/>
              <w:gridCol w:w="1298"/>
              <w:gridCol w:w="1193"/>
              <w:gridCol w:w="543"/>
              <w:gridCol w:w="578"/>
              <w:gridCol w:w="794"/>
              <w:gridCol w:w="746"/>
              <w:gridCol w:w="703"/>
              <w:gridCol w:w="521"/>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gridSpan w:val="2"/>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点源名称</w:t>
                  </w:r>
                </w:p>
              </w:tc>
              <w:tc>
                <w:tcPr>
                  <w:tcW w:w="2491" w:type="dxa"/>
                  <w:gridSpan w:val="2"/>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排气筒底部中心坐标</w:t>
                  </w:r>
                </w:p>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（经纬度）</w:t>
                  </w:r>
                </w:p>
              </w:tc>
              <w:tc>
                <w:tcPr>
                  <w:tcW w:w="543" w:type="dxa"/>
                  <w:vMerge w:val="restart"/>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排气筒高度</w:t>
                  </w:r>
                </w:p>
              </w:tc>
              <w:tc>
                <w:tcPr>
                  <w:tcW w:w="578"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排气筒内径</w:t>
                  </w:r>
                </w:p>
              </w:tc>
              <w:tc>
                <w:tcPr>
                  <w:tcW w:w="794"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烟气量</w:t>
                  </w:r>
                </w:p>
              </w:tc>
              <w:tc>
                <w:tcPr>
                  <w:tcW w:w="746" w:type="dxa"/>
                  <w:vMerge w:val="restart"/>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年排放小时数</w:t>
                  </w:r>
                </w:p>
              </w:tc>
              <w:tc>
                <w:tcPr>
                  <w:tcW w:w="703"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烟气出口温度</w:t>
                  </w:r>
                </w:p>
              </w:tc>
              <w:tc>
                <w:tcPr>
                  <w:tcW w:w="521"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排放工况</w:t>
                  </w:r>
                </w:p>
              </w:tc>
              <w:tc>
                <w:tcPr>
                  <w:tcW w:w="970" w:type="dxa"/>
                  <w:vMerge w:val="restart"/>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评价因子排放速率</w:t>
                  </w:r>
                  <w:r>
                    <w:rPr>
                      <w:rFonts w:hint="default" w:ascii="Times New Roman" w:hAnsi="Times New Roman" w:cs="Times New Roman"/>
                      <w:sz w:val="21"/>
                      <w:szCs w:val="21"/>
                      <w:lang w:val="en-US" w:eastAsia="zh-CN"/>
                    </w:rPr>
                    <w:t xml:space="preserve"> 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gridSpan w:val="2"/>
                  <w:vMerge w:val="continue"/>
                  <w:noWrap w:val="0"/>
                  <w:vAlign w:val="center"/>
                </w:tcPr>
                <w:p>
                  <w:pPr>
                    <w:pStyle w:val="3"/>
                    <w:jc w:val="center"/>
                    <w:rPr>
                      <w:rFonts w:hint="default" w:ascii="Times New Roman" w:hAnsi="Times New Roman" w:cs="Times New Roman"/>
                      <w:sz w:val="21"/>
                      <w:szCs w:val="21"/>
                      <w:lang w:eastAsia="zh-CN"/>
                    </w:rPr>
                  </w:pPr>
                </w:p>
              </w:tc>
              <w:tc>
                <w:tcPr>
                  <w:tcW w:w="129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X</w:t>
                  </w:r>
                </w:p>
              </w:tc>
              <w:tc>
                <w:tcPr>
                  <w:tcW w:w="119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w:t>
                  </w:r>
                </w:p>
              </w:tc>
              <w:tc>
                <w:tcPr>
                  <w:tcW w:w="543" w:type="dxa"/>
                  <w:vMerge w:val="continue"/>
                  <w:noWrap w:val="0"/>
                  <w:vAlign w:val="center"/>
                </w:tcPr>
                <w:p>
                  <w:pPr>
                    <w:pStyle w:val="3"/>
                    <w:jc w:val="center"/>
                    <w:rPr>
                      <w:rFonts w:hint="default" w:ascii="Times New Roman" w:hAnsi="Times New Roman" w:cs="Times New Roman"/>
                      <w:sz w:val="21"/>
                      <w:szCs w:val="21"/>
                      <w:lang w:eastAsia="zh-CN"/>
                    </w:rPr>
                  </w:pPr>
                </w:p>
              </w:tc>
              <w:tc>
                <w:tcPr>
                  <w:tcW w:w="578" w:type="dxa"/>
                  <w:vMerge w:val="continue"/>
                  <w:noWrap w:val="0"/>
                  <w:vAlign w:val="center"/>
                </w:tcPr>
                <w:p>
                  <w:pPr>
                    <w:pStyle w:val="3"/>
                    <w:jc w:val="center"/>
                    <w:rPr>
                      <w:rFonts w:hint="default" w:ascii="Times New Roman" w:hAnsi="Times New Roman" w:cs="Times New Roman"/>
                      <w:sz w:val="21"/>
                      <w:szCs w:val="21"/>
                      <w:lang w:eastAsia="zh-CN"/>
                    </w:rPr>
                  </w:pPr>
                </w:p>
              </w:tc>
              <w:tc>
                <w:tcPr>
                  <w:tcW w:w="794" w:type="dxa"/>
                  <w:vMerge w:val="continue"/>
                  <w:noWrap w:val="0"/>
                  <w:vAlign w:val="center"/>
                </w:tcPr>
                <w:p>
                  <w:pPr>
                    <w:pStyle w:val="3"/>
                    <w:jc w:val="center"/>
                    <w:rPr>
                      <w:rFonts w:hint="default" w:ascii="Times New Roman" w:hAnsi="Times New Roman" w:cs="Times New Roman"/>
                      <w:sz w:val="21"/>
                      <w:szCs w:val="21"/>
                      <w:lang w:eastAsia="zh-CN"/>
                    </w:rPr>
                  </w:pPr>
                </w:p>
              </w:tc>
              <w:tc>
                <w:tcPr>
                  <w:tcW w:w="746" w:type="dxa"/>
                  <w:vMerge w:val="continue"/>
                  <w:noWrap w:val="0"/>
                  <w:vAlign w:val="center"/>
                </w:tcPr>
                <w:p>
                  <w:pPr>
                    <w:pStyle w:val="3"/>
                    <w:jc w:val="center"/>
                    <w:rPr>
                      <w:rFonts w:hint="default" w:ascii="Times New Roman" w:hAnsi="Times New Roman" w:cs="Times New Roman"/>
                      <w:sz w:val="21"/>
                      <w:szCs w:val="21"/>
                      <w:lang w:eastAsia="zh-CN"/>
                    </w:rPr>
                  </w:pPr>
                </w:p>
              </w:tc>
              <w:tc>
                <w:tcPr>
                  <w:tcW w:w="703" w:type="dxa"/>
                  <w:vMerge w:val="continue"/>
                  <w:noWrap w:val="0"/>
                  <w:vAlign w:val="center"/>
                </w:tcPr>
                <w:p>
                  <w:pPr>
                    <w:pStyle w:val="3"/>
                    <w:jc w:val="center"/>
                    <w:rPr>
                      <w:rFonts w:hint="default" w:ascii="Times New Roman" w:hAnsi="Times New Roman" w:cs="Times New Roman"/>
                      <w:sz w:val="21"/>
                      <w:szCs w:val="21"/>
                      <w:lang w:eastAsia="zh-CN"/>
                    </w:rPr>
                  </w:pPr>
                </w:p>
              </w:tc>
              <w:tc>
                <w:tcPr>
                  <w:tcW w:w="521" w:type="dxa"/>
                  <w:vMerge w:val="continue"/>
                  <w:noWrap w:val="0"/>
                  <w:vAlign w:val="center"/>
                </w:tcPr>
                <w:p>
                  <w:pPr>
                    <w:pStyle w:val="3"/>
                    <w:jc w:val="center"/>
                    <w:rPr>
                      <w:rFonts w:hint="default" w:ascii="Times New Roman" w:hAnsi="Times New Roman" w:cs="Times New Roman"/>
                      <w:sz w:val="21"/>
                      <w:szCs w:val="21"/>
                      <w:lang w:eastAsia="zh-CN"/>
                    </w:rPr>
                  </w:pPr>
                </w:p>
              </w:tc>
              <w:tc>
                <w:tcPr>
                  <w:tcW w:w="970" w:type="dxa"/>
                  <w:vMerge w:val="continue"/>
                  <w:noWrap w:val="0"/>
                  <w:vAlign w:val="center"/>
                </w:tcPr>
                <w:p>
                  <w:pPr>
                    <w:pStyle w:val="3"/>
                    <w:jc w:val="center"/>
                    <w:rPr>
                      <w:rFonts w:hint="default" w:ascii="Times New Roman" w:hAnsi="Times New Roman"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gridSpan w:val="2"/>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129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119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54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w:t>
                  </w:r>
                </w:p>
              </w:tc>
              <w:tc>
                <w:tcPr>
                  <w:tcW w:w="57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w:t>
                  </w:r>
                </w:p>
              </w:tc>
              <w:tc>
                <w:tcPr>
                  <w:tcW w:w="794"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val="en-US" w:eastAsia="zh-CN"/>
                    </w:rPr>
                    <w:t>/h</w:t>
                  </w:r>
                </w:p>
              </w:tc>
              <w:tc>
                <w:tcPr>
                  <w:tcW w:w="746"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w:t>
                  </w:r>
                </w:p>
              </w:tc>
              <w:tc>
                <w:tcPr>
                  <w:tcW w:w="70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k</w:t>
                  </w:r>
                </w:p>
              </w:tc>
              <w:tc>
                <w:tcPr>
                  <w:tcW w:w="521"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97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w:t>
                  </w:r>
                  <w:r>
                    <w:rPr>
                      <w:rFonts w:hint="default" w:ascii="Times New Roman" w:hAnsi="Times New Roman" w:cs="Times New Roman"/>
                      <w:sz w:val="21"/>
                      <w:szCs w:val="21"/>
                      <w:vertAlign w:val="subscript"/>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0"/>
                  <w:vAlign w:val="center"/>
                </w:tcPr>
                <w:p>
                  <w:pPr>
                    <w:spacing w:line="360" w:lineRule="exact"/>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生产</w:t>
                  </w:r>
                  <w:r>
                    <w:rPr>
                      <w:rFonts w:hint="default" w:ascii="Times New Roman" w:hAnsi="Times New Roman" w:cs="Times New Roman"/>
                      <w:sz w:val="21"/>
                      <w:szCs w:val="21"/>
                      <w:lang w:eastAsia="zh-CN"/>
                    </w:rPr>
                    <w:t>车间</w:t>
                  </w:r>
                </w:p>
              </w:tc>
              <w:tc>
                <w:tcPr>
                  <w:tcW w:w="636" w:type="dxa"/>
                  <w:noWrap w:val="0"/>
                  <w:vAlign w:val="center"/>
                </w:tcPr>
                <w:p>
                  <w:pPr>
                    <w:pStyle w:val="83"/>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排气筒</w:t>
                  </w:r>
                </w:p>
              </w:tc>
              <w:tc>
                <w:tcPr>
                  <w:tcW w:w="1298"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113.022664</w:t>
                  </w:r>
                  <w:r>
                    <w:rPr>
                      <w:rFonts w:hint="default" w:ascii="Times New Roman" w:hAnsi="Times New Roman" w:cs="Times New Roman"/>
                      <w:sz w:val="21"/>
                      <w:szCs w:val="21"/>
                      <w:lang w:val="en-US" w:eastAsia="zh-CN"/>
                    </w:rPr>
                    <w:t>°</w:t>
                  </w:r>
                </w:p>
              </w:tc>
              <w:tc>
                <w:tcPr>
                  <w:tcW w:w="1193"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33.676725</w:t>
                  </w:r>
                  <w:r>
                    <w:rPr>
                      <w:rFonts w:hint="default" w:ascii="Times New Roman" w:hAnsi="Times New Roman" w:cs="Times New Roman"/>
                      <w:sz w:val="21"/>
                      <w:szCs w:val="21"/>
                      <w:lang w:val="en-US" w:eastAsia="zh-CN"/>
                    </w:rPr>
                    <w:t>°</w:t>
                  </w:r>
                </w:p>
              </w:tc>
              <w:tc>
                <w:tcPr>
                  <w:tcW w:w="543" w:type="dxa"/>
                  <w:noWrap w:val="0"/>
                  <w:vAlign w:val="center"/>
                </w:tcPr>
                <w:p>
                  <w:pPr>
                    <w:pStyle w:val="3"/>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15</w:t>
                  </w:r>
                </w:p>
              </w:tc>
              <w:tc>
                <w:tcPr>
                  <w:tcW w:w="578" w:type="dxa"/>
                  <w:noWrap w:val="0"/>
                  <w:vAlign w:val="center"/>
                </w:tcPr>
                <w:p>
                  <w:pPr>
                    <w:pStyle w:val="3"/>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r>
                    <w:rPr>
                      <w:rFonts w:hint="eastAsia" w:ascii="Times New Roman" w:hAnsi="Times New Roman" w:eastAsia="宋体" w:cs="Times New Roman"/>
                      <w:sz w:val="21"/>
                      <w:szCs w:val="21"/>
                      <w:lang w:val="en-US" w:eastAsia="zh-CN"/>
                    </w:rPr>
                    <w:t>3</w:t>
                  </w:r>
                </w:p>
              </w:tc>
              <w:tc>
                <w:tcPr>
                  <w:tcW w:w="794"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0000</w:t>
                  </w:r>
                </w:p>
              </w:tc>
              <w:tc>
                <w:tcPr>
                  <w:tcW w:w="746"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2400</w:t>
                  </w:r>
                </w:p>
              </w:tc>
              <w:tc>
                <w:tcPr>
                  <w:tcW w:w="70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293</w:t>
                  </w:r>
                </w:p>
              </w:tc>
              <w:tc>
                <w:tcPr>
                  <w:tcW w:w="521" w:type="dxa"/>
                  <w:noWrap w:val="0"/>
                  <w:vAlign w:val="center"/>
                </w:tcPr>
                <w:p>
                  <w:pPr>
                    <w:pStyle w:val="3"/>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连续</w:t>
                  </w:r>
                </w:p>
              </w:tc>
              <w:tc>
                <w:tcPr>
                  <w:tcW w:w="970" w:type="dxa"/>
                  <w:noWrap w:val="0"/>
                  <w:vAlign w:val="center"/>
                </w:tcPr>
                <w:p>
                  <w:pPr>
                    <w:pStyle w:val="3"/>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0.0208</w:t>
                  </w:r>
                </w:p>
              </w:tc>
            </w:tr>
          </w:tbl>
          <w:p>
            <w:pPr>
              <w:spacing w:line="520" w:lineRule="exact"/>
              <w:ind w:firstLine="465"/>
              <w:rPr>
                <w:rFonts w:eastAsia="黑体"/>
                <w:b w:val="0"/>
                <w:bCs w:val="0"/>
                <w:color w:val="auto"/>
                <w:sz w:val="24"/>
                <w:u w:val="none"/>
              </w:rPr>
            </w:pPr>
          </w:p>
          <w:p>
            <w:pPr>
              <w:spacing w:line="520" w:lineRule="exact"/>
              <w:ind w:firstLine="465"/>
              <w:rPr>
                <w:rFonts w:eastAsia="黑体"/>
                <w:b w:val="0"/>
                <w:bCs w:val="0"/>
                <w:color w:val="auto"/>
                <w:sz w:val="24"/>
                <w:u w:val="none"/>
              </w:rPr>
            </w:pPr>
          </w:p>
          <w:p>
            <w:pPr>
              <w:spacing w:line="520" w:lineRule="exact"/>
              <w:ind w:firstLine="465"/>
              <w:rPr>
                <w:rFonts w:eastAsia="黑体"/>
                <w:b w:val="0"/>
                <w:bCs w:val="0"/>
                <w:color w:val="auto"/>
                <w:sz w:val="24"/>
                <w:u w:val="none"/>
              </w:rPr>
            </w:pPr>
          </w:p>
          <w:p>
            <w:pPr>
              <w:spacing w:line="520" w:lineRule="exact"/>
              <w:ind w:firstLine="465"/>
              <w:rPr>
                <w:rFonts w:eastAsia="黑体"/>
                <w:b w:val="0"/>
                <w:bCs w:val="0"/>
                <w:color w:val="auto"/>
                <w:sz w:val="24"/>
                <w:u w:val="none"/>
              </w:rPr>
            </w:pPr>
          </w:p>
          <w:p>
            <w:pPr>
              <w:spacing w:line="520" w:lineRule="exact"/>
              <w:ind w:firstLine="465"/>
              <w:rPr>
                <w:rFonts w:hint="eastAsia" w:eastAsia="黑体"/>
                <w:b w:val="0"/>
                <w:bCs w:val="0"/>
                <w:color w:val="auto"/>
                <w:sz w:val="24"/>
                <w:u w:val="none"/>
                <w:lang w:eastAsia="zh-CN"/>
              </w:rPr>
            </w:pPr>
            <w:r>
              <w:rPr>
                <w:rFonts w:eastAsia="黑体"/>
                <w:b w:val="0"/>
                <w:bCs w:val="0"/>
                <w:color w:val="auto"/>
                <w:sz w:val="24"/>
                <w:u w:val="none"/>
              </w:rPr>
              <w:t>表</w:t>
            </w:r>
            <w:r>
              <w:rPr>
                <w:rFonts w:hint="eastAsia" w:eastAsia="黑体"/>
                <w:b w:val="0"/>
                <w:bCs w:val="0"/>
                <w:color w:val="auto"/>
                <w:sz w:val="24"/>
                <w:u w:val="none"/>
                <w:lang w:val="en-US" w:eastAsia="zh-CN"/>
              </w:rPr>
              <w:t>28</w:t>
            </w:r>
            <w:r>
              <w:rPr>
                <w:rFonts w:eastAsia="黑体"/>
                <w:b w:val="0"/>
                <w:bCs w:val="0"/>
                <w:color w:val="auto"/>
                <w:sz w:val="24"/>
                <w:u w:val="none"/>
              </w:rPr>
              <w:t xml:space="preserve">                   </w:t>
            </w:r>
            <w:r>
              <w:rPr>
                <w:rFonts w:hint="eastAsia" w:eastAsia="黑体"/>
                <w:b w:val="0"/>
                <w:bCs w:val="0"/>
                <w:color w:val="auto"/>
                <w:sz w:val="24"/>
                <w:u w:val="none"/>
                <w:lang w:eastAsia="zh-CN"/>
              </w:rPr>
              <w:t>厂区面源输入</w:t>
            </w:r>
            <w:r>
              <w:rPr>
                <w:rFonts w:eastAsia="黑体"/>
                <w:b w:val="0"/>
                <w:bCs w:val="0"/>
                <w:color w:val="auto"/>
                <w:sz w:val="24"/>
                <w:u w:val="none"/>
              </w:rPr>
              <w:t>参数</w:t>
            </w:r>
            <w:r>
              <w:rPr>
                <w:rFonts w:hint="eastAsia" w:eastAsia="黑体"/>
                <w:b w:val="0"/>
                <w:bCs w:val="0"/>
                <w:color w:val="auto"/>
                <w:sz w:val="24"/>
                <w:u w:val="none"/>
                <w:lang w:eastAsia="zh-CN"/>
              </w:rPr>
              <w:t>表</w:t>
            </w:r>
          </w:p>
          <w:tbl>
            <w:tblPr>
              <w:tblStyle w:val="32"/>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8"/>
              <w:gridCol w:w="1218"/>
              <w:gridCol w:w="1113"/>
              <w:gridCol w:w="656"/>
              <w:gridCol w:w="557"/>
              <w:gridCol w:w="472"/>
              <w:gridCol w:w="760"/>
              <w:gridCol w:w="752"/>
              <w:gridCol w:w="630"/>
              <w:gridCol w:w="580"/>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858" w:type="dxa"/>
                  <w:vMerge w:val="restart"/>
                  <w:tcBorders>
                    <w:tl2br w:val="nil"/>
                    <w:tr2bl w:val="nil"/>
                  </w:tcBorders>
                  <w:noWrap w:val="0"/>
                  <w:vAlign w:val="center"/>
                </w:tcPr>
                <w:p>
                  <w:pPr>
                    <w:pStyle w:val="28"/>
                    <w:widowControl w:val="0"/>
                    <w:autoSpaceDE w:val="0"/>
                    <w:autoSpaceDN w:val="0"/>
                    <w:adjustRightInd w:val="0"/>
                    <w:snapToGrid w:val="0"/>
                    <w:spacing w:before="15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名称</w:t>
                  </w:r>
                </w:p>
              </w:tc>
              <w:tc>
                <w:tcPr>
                  <w:tcW w:w="2331" w:type="dxa"/>
                  <w:gridSpan w:val="2"/>
                  <w:vMerge w:val="restart"/>
                  <w:tcBorders>
                    <w:tl2br w:val="nil"/>
                    <w:tr2bl w:val="nil"/>
                  </w:tcBorders>
                  <w:noWrap w:val="0"/>
                  <w:vAlign w:val="center"/>
                </w:tcPr>
                <w:p>
                  <w:pPr>
                    <w:pStyle w:val="28"/>
                    <w:widowControl w:val="0"/>
                    <w:autoSpaceDE w:val="0"/>
                    <w:autoSpaceDN w:val="0"/>
                    <w:adjustRightInd w:val="0"/>
                    <w:snapToGrid w:val="0"/>
                    <w:spacing w:before="136"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面源起点坐标/m</w:t>
                  </w:r>
                </w:p>
              </w:tc>
              <w:tc>
                <w:tcPr>
                  <w:tcW w:w="656" w:type="dxa"/>
                  <w:vMerge w:val="restart"/>
                  <w:tcBorders>
                    <w:tl2br w:val="nil"/>
                    <w:tr2bl w:val="nil"/>
                  </w:tcBorders>
                  <w:noWrap w:val="0"/>
                  <w:vAlign w:val="center"/>
                </w:tcPr>
                <w:p>
                  <w:pPr>
                    <w:pStyle w:val="28"/>
                    <w:widowControl w:val="0"/>
                    <w:autoSpaceDE w:val="0"/>
                    <w:autoSpaceDN w:val="0"/>
                    <w:adjustRightInd w:val="0"/>
                    <w:snapToGrid w:val="0"/>
                    <w:spacing w:before="1"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面源海拔高度/m</w:t>
                  </w:r>
                </w:p>
              </w:tc>
              <w:tc>
                <w:tcPr>
                  <w:tcW w:w="557"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面源长度</w:t>
                  </w:r>
                </w:p>
                <w:p>
                  <w:pPr>
                    <w:pStyle w:val="28"/>
                    <w:widowControl w:val="0"/>
                    <w:autoSpaceDE w:val="0"/>
                    <w:autoSpaceDN w:val="0"/>
                    <w:adjustRightInd w:val="0"/>
                    <w:snapToGrid w:val="0"/>
                    <w:spacing w:before="3"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/m</w:t>
                  </w:r>
                </w:p>
              </w:tc>
              <w:tc>
                <w:tcPr>
                  <w:tcW w:w="472"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面源宽度</w:t>
                  </w:r>
                </w:p>
                <w:p>
                  <w:pPr>
                    <w:pStyle w:val="28"/>
                    <w:widowControl w:val="0"/>
                    <w:autoSpaceDE w:val="0"/>
                    <w:autoSpaceDN w:val="0"/>
                    <w:adjustRightInd w:val="0"/>
                    <w:snapToGrid w:val="0"/>
                    <w:spacing w:before="3"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/m</w:t>
                  </w:r>
                </w:p>
              </w:tc>
              <w:tc>
                <w:tcPr>
                  <w:tcW w:w="760" w:type="dxa"/>
                  <w:vMerge w:val="restart"/>
                  <w:tcBorders>
                    <w:tl2br w:val="nil"/>
                    <w:tr2bl w:val="nil"/>
                  </w:tcBorders>
                  <w:noWrap w:val="0"/>
                  <w:vAlign w:val="center"/>
                </w:tcPr>
                <w:p>
                  <w:pPr>
                    <w:pStyle w:val="28"/>
                    <w:widowControl w:val="0"/>
                    <w:autoSpaceDE w:val="0"/>
                    <w:autoSpaceDN w:val="0"/>
                    <w:adjustRightInd w:val="0"/>
                    <w:snapToGrid w:val="0"/>
                    <w:spacing w:before="162"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与正北向夹角/°</w:t>
                  </w:r>
                </w:p>
              </w:tc>
              <w:tc>
                <w:tcPr>
                  <w:tcW w:w="752"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面源有效排放高度/m</w:t>
                  </w:r>
                </w:p>
              </w:tc>
              <w:tc>
                <w:tcPr>
                  <w:tcW w:w="630"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年排放小时数/h</w:t>
                  </w:r>
                </w:p>
              </w:tc>
              <w:tc>
                <w:tcPr>
                  <w:tcW w:w="580" w:type="dxa"/>
                  <w:vMerge w:val="restart"/>
                  <w:tcBorders>
                    <w:tl2br w:val="nil"/>
                    <w:tr2bl w:val="nil"/>
                  </w:tcBorders>
                  <w:noWrap w:val="0"/>
                  <w:vAlign w:val="center"/>
                </w:tcPr>
                <w:p>
                  <w:pPr>
                    <w:pStyle w:val="28"/>
                    <w:widowControl w:val="0"/>
                    <w:autoSpaceDE w:val="0"/>
                    <w:autoSpaceDN w:val="0"/>
                    <w:adjustRightInd w:val="0"/>
                    <w:snapToGrid w:val="0"/>
                    <w:spacing w:before="15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排放工况</w:t>
                  </w:r>
                </w:p>
              </w:tc>
              <w:tc>
                <w:tcPr>
                  <w:tcW w:w="1014" w:type="dxa"/>
                  <w:tcBorders>
                    <w:tl2br w:val="nil"/>
                    <w:tr2bl w:val="nil"/>
                  </w:tcBorders>
                  <w:noWrap w:val="0"/>
                  <w:vAlign w:val="center"/>
                </w:tcPr>
                <w:p>
                  <w:pPr>
                    <w:pStyle w:val="28"/>
                    <w:widowControl w:val="0"/>
                    <w:autoSpaceDE w:val="0"/>
                    <w:autoSpaceDN w:val="0"/>
                    <w:adjustRightInd w:val="0"/>
                    <w:snapToGrid w:val="0"/>
                    <w:spacing w:before="85"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污染物排放速率/g/</w:t>
                  </w:r>
                  <w:r>
                    <w:rPr>
                      <w:rFonts w:hint="default" w:ascii="Times New Roman" w:hAnsi="Times New Roman" w:cs="Times New Roman"/>
                      <w:sz w:val="21"/>
                      <w:szCs w:val="21"/>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58" w:type="dxa"/>
                  <w:vMerge w:val="continue"/>
                  <w:tcBorders>
                    <w:tl2br w:val="nil"/>
                    <w:tr2bl w:val="nil"/>
                  </w:tcBorders>
                  <w:noWrap w:val="0"/>
                  <w:vAlign w:val="center"/>
                </w:tcPr>
                <w:p>
                  <w:pPr>
                    <w:rPr>
                      <w:rFonts w:hint="default" w:ascii="Times New Roman" w:hAnsi="Times New Roman" w:cs="Times New Roman"/>
                      <w:sz w:val="21"/>
                      <w:szCs w:val="21"/>
                    </w:rPr>
                  </w:pPr>
                </w:p>
              </w:tc>
              <w:tc>
                <w:tcPr>
                  <w:tcW w:w="2331" w:type="dxa"/>
                  <w:gridSpan w:val="2"/>
                  <w:vMerge w:val="continue"/>
                  <w:tcBorders>
                    <w:tl2br w:val="nil"/>
                    <w:tr2bl w:val="nil"/>
                  </w:tcBorders>
                  <w:noWrap w:val="0"/>
                  <w:vAlign w:val="center"/>
                </w:tcPr>
                <w:p>
                  <w:pPr>
                    <w:rPr>
                      <w:rFonts w:hint="default" w:ascii="Times New Roman" w:hAnsi="Times New Roman" w:cs="Times New Roman"/>
                      <w:sz w:val="21"/>
                      <w:szCs w:val="21"/>
                    </w:rPr>
                  </w:pPr>
                </w:p>
              </w:tc>
              <w:tc>
                <w:tcPr>
                  <w:tcW w:w="656" w:type="dxa"/>
                  <w:vMerge w:val="continue"/>
                  <w:tcBorders>
                    <w:tl2br w:val="nil"/>
                    <w:tr2bl w:val="nil"/>
                  </w:tcBorders>
                  <w:noWrap w:val="0"/>
                  <w:vAlign w:val="center"/>
                </w:tcPr>
                <w:p>
                  <w:pPr>
                    <w:rPr>
                      <w:rFonts w:hint="default" w:ascii="Times New Roman" w:hAnsi="Times New Roman" w:cs="Times New Roman"/>
                      <w:sz w:val="21"/>
                      <w:szCs w:val="21"/>
                    </w:rPr>
                  </w:pPr>
                </w:p>
              </w:tc>
              <w:tc>
                <w:tcPr>
                  <w:tcW w:w="557" w:type="dxa"/>
                  <w:vMerge w:val="continue"/>
                  <w:tcBorders>
                    <w:tl2br w:val="nil"/>
                    <w:tr2bl w:val="nil"/>
                  </w:tcBorders>
                  <w:noWrap w:val="0"/>
                  <w:vAlign w:val="center"/>
                </w:tcPr>
                <w:p>
                  <w:pPr>
                    <w:rPr>
                      <w:rFonts w:hint="default" w:ascii="Times New Roman" w:hAnsi="Times New Roman" w:cs="Times New Roman"/>
                      <w:sz w:val="21"/>
                      <w:szCs w:val="21"/>
                    </w:rPr>
                  </w:pPr>
                </w:p>
              </w:tc>
              <w:tc>
                <w:tcPr>
                  <w:tcW w:w="472" w:type="dxa"/>
                  <w:vMerge w:val="continue"/>
                  <w:tcBorders>
                    <w:tl2br w:val="nil"/>
                    <w:tr2bl w:val="nil"/>
                  </w:tcBorders>
                  <w:noWrap w:val="0"/>
                  <w:vAlign w:val="center"/>
                </w:tcPr>
                <w:p>
                  <w:pPr>
                    <w:rPr>
                      <w:rFonts w:hint="default" w:ascii="Times New Roman" w:hAnsi="Times New Roman" w:cs="Times New Roman"/>
                      <w:sz w:val="21"/>
                      <w:szCs w:val="21"/>
                    </w:rPr>
                  </w:pPr>
                </w:p>
              </w:tc>
              <w:tc>
                <w:tcPr>
                  <w:tcW w:w="760" w:type="dxa"/>
                  <w:vMerge w:val="continue"/>
                  <w:tcBorders>
                    <w:tl2br w:val="nil"/>
                    <w:tr2bl w:val="nil"/>
                  </w:tcBorders>
                  <w:noWrap w:val="0"/>
                  <w:vAlign w:val="center"/>
                </w:tcPr>
                <w:p>
                  <w:pPr>
                    <w:rPr>
                      <w:rFonts w:hint="default" w:ascii="Times New Roman" w:hAnsi="Times New Roman" w:cs="Times New Roman"/>
                      <w:sz w:val="21"/>
                      <w:szCs w:val="21"/>
                    </w:rPr>
                  </w:pPr>
                </w:p>
              </w:tc>
              <w:tc>
                <w:tcPr>
                  <w:tcW w:w="752" w:type="dxa"/>
                  <w:vMerge w:val="continue"/>
                  <w:tcBorders>
                    <w:tl2br w:val="nil"/>
                    <w:tr2bl w:val="nil"/>
                  </w:tcBorders>
                  <w:noWrap w:val="0"/>
                  <w:vAlign w:val="center"/>
                </w:tcPr>
                <w:p>
                  <w:pPr>
                    <w:rPr>
                      <w:rFonts w:hint="default" w:ascii="Times New Roman" w:hAnsi="Times New Roman" w:cs="Times New Roman"/>
                      <w:sz w:val="21"/>
                      <w:szCs w:val="21"/>
                    </w:rPr>
                  </w:pPr>
                </w:p>
              </w:tc>
              <w:tc>
                <w:tcPr>
                  <w:tcW w:w="630" w:type="dxa"/>
                  <w:vMerge w:val="continue"/>
                  <w:tcBorders>
                    <w:tl2br w:val="nil"/>
                    <w:tr2bl w:val="nil"/>
                  </w:tcBorders>
                  <w:noWrap w:val="0"/>
                  <w:vAlign w:val="center"/>
                </w:tcPr>
                <w:p>
                  <w:pPr>
                    <w:rPr>
                      <w:rFonts w:hint="default" w:ascii="Times New Roman" w:hAnsi="Times New Roman" w:cs="Times New Roman"/>
                      <w:sz w:val="21"/>
                      <w:szCs w:val="21"/>
                    </w:rPr>
                  </w:pPr>
                </w:p>
              </w:tc>
              <w:tc>
                <w:tcPr>
                  <w:tcW w:w="580" w:type="dxa"/>
                  <w:vMerge w:val="continue"/>
                  <w:tcBorders>
                    <w:tl2br w:val="nil"/>
                    <w:tr2bl w:val="nil"/>
                  </w:tcBorders>
                  <w:noWrap w:val="0"/>
                  <w:vAlign w:val="center"/>
                </w:tcPr>
                <w:p>
                  <w:pPr>
                    <w:rPr>
                      <w:rFonts w:hint="default" w:ascii="Times New Roman" w:hAnsi="Times New Roman" w:cs="Times New Roman"/>
                      <w:sz w:val="21"/>
                      <w:szCs w:val="21"/>
                    </w:rPr>
                  </w:pPr>
                </w:p>
              </w:tc>
              <w:tc>
                <w:tcPr>
                  <w:tcW w:w="1014" w:type="dxa"/>
                  <w:vMerge w:val="restart"/>
                  <w:tcBorders>
                    <w:tl2br w:val="nil"/>
                    <w:tr2bl w:val="nil"/>
                  </w:tcBorders>
                  <w:noWrap w:val="0"/>
                  <w:vAlign w:val="center"/>
                </w:tcPr>
                <w:p>
                  <w:pPr>
                    <w:pStyle w:val="28"/>
                    <w:widowControl w:val="0"/>
                    <w:autoSpaceDE w:val="0"/>
                    <w:autoSpaceDN w:val="0"/>
                    <w:adjustRightInd w:val="0"/>
                    <w:snapToGrid w:val="0"/>
                    <w:spacing w:before="43" w:beforeAutospacing="0" w:after="0" w:afterAutospacing="0" w:line="24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8" w:type="dxa"/>
                  <w:vMerge w:val="continue"/>
                  <w:tcBorders>
                    <w:tl2br w:val="nil"/>
                    <w:tr2bl w:val="nil"/>
                  </w:tcBorders>
                  <w:noWrap w:val="0"/>
                  <w:vAlign w:val="center"/>
                </w:tcPr>
                <w:p>
                  <w:pPr>
                    <w:rPr>
                      <w:rFonts w:hint="default" w:ascii="Times New Roman" w:hAnsi="Times New Roman" w:cs="Times New Roman"/>
                      <w:sz w:val="21"/>
                      <w:szCs w:val="21"/>
                    </w:rPr>
                  </w:pPr>
                </w:p>
              </w:tc>
              <w:tc>
                <w:tcPr>
                  <w:tcW w:w="1218" w:type="dxa"/>
                  <w:tcBorders>
                    <w:tl2br w:val="nil"/>
                    <w:tr2bl w:val="nil"/>
                  </w:tcBorders>
                  <w:noWrap w:val="0"/>
                  <w:vAlign w:val="center"/>
                </w:tcPr>
                <w:p>
                  <w:pPr>
                    <w:pStyle w:val="28"/>
                    <w:widowControl w:val="0"/>
                    <w:autoSpaceDE w:val="0"/>
                    <w:autoSpaceDN w:val="0"/>
                    <w:adjustRightInd w:val="0"/>
                    <w:snapToGrid w:val="0"/>
                    <w:spacing w:before="33" w:beforeAutospacing="0" w:after="0" w:afterAutospacing="0" w:line="240" w:lineRule="auto"/>
                    <w:jc w:val="center"/>
                    <w:rPr>
                      <w:rFonts w:hint="default" w:ascii="Times New Roman" w:hAnsi="Times New Roman" w:cs="Times New Roman"/>
                      <w:sz w:val="21"/>
                      <w:szCs w:val="21"/>
                      <w:lang w:eastAsia="zh-CN"/>
                    </w:rPr>
                  </w:pPr>
                  <w:r>
                    <w:rPr>
                      <w:rFonts w:hint="default" w:ascii="Times New Roman" w:hAnsi="Times New Roman" w:cs="Times New Roman"/>
                      <w:sz w:val="21"/>
                      <w:szCs w:val="21"/>
                    </w:rPr>
                    <w:t>经度</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lang w:eastAsia="zh-CN"/>
                    </w:rPr>
                    <w:t>）</w:t>
                  </w:r>
                </w:p>
              </w:tc>
              <w:tc>
                <w:tcPr>
                  <w:tcW w:w="1113" w:type="dxa"/>
                  <w:tcBorders>
                    <w:tl2br w:val="nil"/>
                    <w:tr2bl w:val="nil"/>
                  </w:tcBorders>
                  <w:noWrap w:val="0"/>
                  <w:vAlign w:val="center"/>
                </w:tcPr>
                <w:p>
                  <w:pPr>
                    <w:pStyle w:val="28"/>
                    <w:widowControl w:val="0"/>
                    <w:autoSpaceDE w:val="0"/>
                    <w:autoSpaceDN w:val="0"/>
                    <w:adjustRightInd w:val="0"/>
                    <w:snapToGrid w:val="0"/>
                    <w:spacing w:before="33"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纬度</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lang w:eastAsia="zh-CN"/>
                    </w:rPr>
                    <w:t>）</w:t>
                  </w:r>
                </w:p>
              </w:tc>
              <w:tc>
                <w:tcPr>
                  <w:tcW w:w="656" w:type="dxa"/>
                  <w:vMerge w:val="continue"/>
                  <w:tcBorders>
                    <w:tl2br w:val="nil"/>
                    <w:tr2bl w:val="nil"/>
                  </w:tcBorders>
                  <w:noWrap w:val="0"/>
                  <w:vAlign w:val="center"/>
                </w:tcPr>
                <w:p>
                  <w:pPr>
                    <w:rPr>
                      <w:rFonts w:hint="default" w:ascii="Times New Roman" w:hAnsi="Times New Roman" w:cs="Times New Roman"/>
                      <w:sz w:val="21"/>
                      <w:szCs w:val="21"/>
                    </w:rPr>
                  </w:pPr>
                </w:p>
              </w:tc>
              <w:tc>
                <w:tcPr>
                  <w:tcW w:w="557" w:type="dxa"/>
                  <w:vMerge w:val="continue"/>
                  <w:tcBorders>
                    <w:tl2br w:val="nil"/>
                    <w:tr2bl w:val="nil"/>
                  </w:tcBorders>
                  <w:noWrap w:val="0"/>
                  <w:vAlign w:val="center"/>
                </w:tcPr>
                <w:p>
                  <w:pPr>
                    <w:rPr>
                      <w:rFonts w:hint="default" w:ascii="Times New Roman" w:hAnsi="Times New Roman" w:cs="Times New Roman"/>
                      <w:sz w:val="21"/>
                      <w:szCs w:val="21"/>
                    </w:rPr>
                  </w:pPr>
                </w:p>
              </w:tc>
              <w:tc>
                <w:tcPr>
                  <w:tcW w:w="472" w:type="dxa"/>
                  <w:vMerge w:val="continue"/>
                  <w:tcBorders>
                    <w:tl2br w:val="nil"/>
                    <w:tr2bl w:val="nil"/>
                  </w:tcBorders>
                  <w:noWrap w:val="0"/>
                  <w:vAlign w:val="center"/>
                </w:tcPr>
                <w:p>
                  <w:pPr>
                    <w:rPr>
                      <w:rFonts w:hint="default" w:ascii="Times New Roman" w:hAnsi="Times New Roman" w:cs="Times New Roman"/>
                      <w:sz w:val="21"/>
                      <w:szCs w:val="21"/>
                    </w:rPr>
                  </w:pPr>
                </w:p>
              </w:tc>
              <w:tc>
                <w:tcPr>
                  <w:tcW w:w="760" w:type="dxa"/>
                  <w:vMerge w:val="continue"/>
                  <w:tcBorders>
                    <w:tl2br w:val="nil"/>
                    <w:tr2bl w:val="nil"/>
                  </w:tcBorders>
                  <w:noWrap w:val="0"/>
                  <w:vAlign w:val="center"/>
                </w:tcPr>
                <w:p>
                  <w:pPr>
                    <w:rPr>
                      <w:rFonts w:hint="default" w:ascii="Times New Roman" w:hAnsi="Times New Roman" w:cs="Times New Roman"/>
                      <w:sz w:val="21"/>
                      <w:szCs w:val="21"/>
                    </w:rPr>
                  </w:pPr>
                </w:p>
              </w:tc>
              <w:tc>
                <w:tcPr>
                  <w:tcW w:w="752" w:type="dxa"/>
                  <w:vMerge w:val="continue"/>
                  <w:tcBorders>
                    <w:tl2br w:val="nil"/>
                    <w:tr2bl w:val="nil"/>
                  </w:tcBorders>
                  <w:noWrap w:val="0"/>
                  <w:vAlign w:val="center"/>
                </w:tcPr>
                <w:p>
                  <w:pPr>
                    <w:rPr>
                      <w:rFonts w:hint="default" w:ascii="Times New Roman" w:hAnsi="Times New Roman" w:cs="Times New Roman"/>
                      <w:sz w:val="21"/>
                      <w:szCs w:val="21"/>
                    </w:rPr>
                  </w:pPr>
                </w:p>
              </w:tc>
              <w:tc>
                <w:tcPr>
                  <w:tcW w:w="630" w:type="dxa"/>
                  <w:vMerge w:val="continue"/>
                  <w:tcBorders>
                    <w:tl2br w:val="nil"/>
                    <w:tr2bl w:val="nil"/>
                  </w:tcBorders>
                  <w:noWrap w:val="0"/>
                  <w:vAlign w:val="center"/>
                </w:tcPr>
                <w:p>
                  <w:pPr>
                    <w:rPr>
                      <w:rFonts w:hint="default" w:ascii="Times New Roman" w:hAnsi="Times New Roman" w:cs="Times New Roman"/>
                      <w:sz w:val="21"/>
                      <w:szCs w:val="21"/>
                    </w:rPr>
                  </w:pPr>
                </w:p>
              </w:tc>
              <w:tc>
                <w:tcPr>
                  <w:tcW w:w="580" w:type="dxa"/>
                  <w:vMerge w:val="continue"/>
                  <w:tcBorders>
                    <w:tl2br w:val="nil"/>
                    <w:tr2bl w:val="nil"/>
                  </w:tcBorders>
                  <w:noWrap w:val="0"/>
                  <w:vAlign w:val="center"/>
                </w:tcPr>
                <w:p>
                  <w:pPr>
                    <w:rPr>
                      <w:rFonts w:hint="default" w:ascii="Times New Roman" w:hAnsi="Times New Roman" w:cs="Times New Roman"/>
                      <w:sz w:val="21"/>
                      <w:szCs w:val="21"/>
                    </w:rPr>
                  </w:pPr>
                </w:p>
              </w:tc>
              <w:tc>
                <w:tcPr>
                  <w:tcW w:w="1014" w:type="dxa"/>
                  <w:vMerge w:val="continue"/>
                  <w:tcBorders>
                    <w:tl2br w:val="nil"/>
                    <w:tr2bl w:val="nil"/>
                  </w:tcBorders>
                  <w:noWrap w:val="0"/>
                  <w:vAlign w:val="center"/>
                </w:tcPr>
                <w:p>
                  <w:pP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7" w:hRule="atLeast"/>
                <w:jc w:val="center"/>
              </w:trPr>
              <w:tc>
                <w:tcPr>
                  <w:tcW w:w="858"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生产车间</w:t>
                  </w:r>
                  <w:r>
                    <w:rPr>
                      <w:rFonts w:hint="eastAsia" w:ascii="Times New Roman" w:hAnsi="Times New Roman" w:cs="Times New Roman"/>
                      <w:sz w:val="21"/>
                      <w:szCs w:val="21"/>
                      <w:lang w:eastAsia="zh-CN"/>
                    </w:rPr>
                    <w:t>及原料库</w:t>
                  </w:r>
                </w:p>
              </w:tc>
              <w:tc>
                <w:tcPr>
                  <w:tcW w:w="1218"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113.022353</w:t>
                  </w:r>
                </w:p>
              </w:tc>
              <w:tc>
                <w:tcPr>
                  <w:tcW w:w="1113"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33.676479</w:t>
                  </w:r>
                </w:p>
              </w:tc>
              <w:tc>
                <w:tcPr>
                  <w:tcW w:w="656"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557"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48</w:t>
                  </w:r>
                </w:p>
              </w:tc>
              <w:tc>
                <w:tcPr>
                  <w:tcW w:w="472"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42</w:t>
                  </w:r>
                </w:p>
              </w:tc>
              <w:tc>
                <w:tcPr>
                  <w:tcW w:w="760"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w:t>
                  </w:r>
                </w:p>
              </w:tc>
              <w:tc>
                <w:tcPr>
                  <w:tcW w:w="752"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p>
              </w:tc>
              <w:tc>
                <w:tcPr>
                  <w:tcW w:w="630" w:type="dxa"/>
                  <w:tcBorders>
                    <w:tl2br w:val="nil"/>
                    <w:tr2bl w:val="nil"/>
                  </w:tcBorders>
                  <w:noWrap w:val="0"/>
                  <w:vAlign w:val="center"/>
                </w:tcPr>
                <w:p>
                  <w:pPr>
                    <w:pStyle w:val="85"/>
                    <w:adjustRightInd w:val="0"/>
                    <w:snapToGrid w:val="0"/>
                    <w:ind w:left="0" w:leftChars="0" w:right="0" w:right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2400</w:t>
                  </w:r>
                </w:p>
              </w:tc>
              <w:tc>
                <w:tcPr>
                  <w:tcW w:w="580" w:type="dxa"/>
                  <w:tcBorders>
                    <w:tl2br w:val="nil"/>
                    <w:tr2bl w:val="nil"/>
                  </w:tcBorders>
                  <w:noWrap w:val="0"/>
                  <w:vAlign w:val="center"/>
                </w:tcPr>
                <w:p>
                  <w:pPr>
                    <w:pStyle w:val="85"/>
                    <w:adjustRightInd w:val="0"/>
                    <w:snapToGrid w:val="0"/>
                    <w:ind w:left="0" w:leftChars="0" w:right="0" w:rightChars="0"/>
                    <w:jc w:val="center"/>
                    <w:rPr>
                      <w:rFonts w:hint="default" w:ascii="Times New Roman" w:hAnsi="Times New Roman" w:cs="Times New Roman"/>
                      <w:sz w:val="21"/>
                      <w:szCs w:val="21"/>
                    </w:rPr>
                  </w:pPr>
                  <w:r>
                    <w:rPr>
                      <w:rFonts w:hint="default" w:ascii="Times New Roman" w:hAnsi="Times New Roman" w:cs="Times New Roman"/>
                      <w:sz w:val="21"/>
                      <w:szCs w:val="21"/>
                    </w:rPr>
                    <w:t>正常</w:t>
                  </w:r>
                </w:p>
              </w:tc>
              <w:tc>
                <w:tcPr>
                  <w:tcW w:w="1014" w:type="dxa"/>
                  <w:tcBorders>
                    <w:tl2br w:val="nil"/>
                    <w:tr2bl w:val="nil"/>
                  </w:tcBorders>
                  <w:noWrap w:val="0"/>
                  <w:vAlign w:val="center"/>
                </w:tcPr>
                <w:p>
                  <w:pPr>
                    <w:pStyle w:val="90"/>
                    <w:rPr>
                      <w:rFonts w:hint="default" w:ascii="Times New Roman" w:hAnsi="Times New Roman" w:cs="Times New Roman"/>
                      <w:sz w:val="21"/>
                      <w:szCs w:val="21"/>
                      <w:lang w:val="en-US" w:eastAsia="zh-CN"/>
                    </w:rPr>
                  </w:pPr>
                  <w:r>
                    <w:rPr>
                      <w:rFonts w:hint="eastAsia" w:cs="Times New Roman"/>
                      <w:sz w:val="21"/>
                      <w:szCs w:val="21"/>
                      <w:lang w:val="en-US" w:eastAsia="zh-CN"/>
                    </w:rPr>
                    <w:t>0.0158</w:t>
                  </w:r>
                </w:p>
              </w:tc>
            </w:tr>
          </w:tbl>
          <w:p>
            <w:pPr>
              <w:pStyle w:val="21"/>
              <w:keepNext w:val="0"/>
              <w:keepLines w:val="0"/>
              <w:pageBreakBefore w:val="0"/>
              <w:widowControl w:val="0"/>
              <w:kinsoku/>
              <w:wordWrap/>
              <w:overflowPunct/>
              <w:topLinePunct w:val="0"/>
              <w:autoSpaceDE/>
              <w:autoSpaceDN/>
              <w:bidi w:val="0"/>
              <w:adjustRightInd/>
              <w:snapToGrid/>
              <w:spacing w:after="0" w:afterLines="0" w:line="520" w:lineRule="exact"/>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）估算模式计算结果及大气评价等级</w:t>
            </w:r>
          </w:p>
          <w:p>
            <w:pPr>
              <w:pStyle w:val="58"/>
              <w:keepNext w:val="0"/>
              <w:keepLines w:val="0"/>
              <w:pageBreakBefore w:val="0"/>
              <w:widowControl w:val="0"/>
              <w:kinsoku/>
              <w:wordWrap/>
              <w:overflowPunct/>
              <w:topLinePunct w:val="0"/>
              <w:autoSpaceDE/>
              <w:autoSpaceDN/>
              <w:bidi w:val="0"/>
              <w:adjustRightInd/>
              <w:snapToGrid/>
              <w:ind w:firstLine="480"/>
              <w:textAlignment w:val="auto"/>
              <w:rPr>
                <w:rFonts w:hint="eastAsia"/>
                <w:sz w:val="24"/>
                <w:szCs w:val="24"/>
                <w:lang w:eastAsia="zh-CN"/>
              </w:rPr>
            </w:pPr>
            <w:r>
              <w:rPr>
                <w:rFonts w:hint="eastAsia"/>
                <w:sz w:val="24"/>
                <w:szCs w:val="24"/>
                <w:lang w:eastAsia="zh-CN"/>
              </w:rPr>
              <w:t>根据污染源参数、预测参数，估算预测结果见下表。</w:t>
            </w:r>
          </w:p>
          <w:p>
            <w:pPr>
              <w:spacing w:line="520" w:lineRule="exact"/>
              <w:ind w:firstLine="465"/>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29</w:t>
            </w:r>
            <w:r>
              <w:rPr>
                <w:rFonts w:hint="eastAsia" w:eastAsia="黑体"/>
                <w:b w:val="0"/>
                <w:bCs w:val="0"/>
                <w:color w:val="auto"/>
                <w:sz w:val="24"/>
                <w:u w:val="none"/>
              </w:rPr>
              <w:t xml:space="preserve">              </w:t>
            </w:r>
            <w:r>
              <w:rPr>
                <w:rFonts w:hint="eastAsia" w:eastAsia="黑体"/>
                <w:b w:val="0"/>
                <w:bCs w:val="0"/>
                <w:color w:val="auto"/>
                <w:sz w:val="24"/>
                <w:u w:val="none"/>
                <w:lang w:eastAsia="zh-CN"/>
              </w:rPr>
              <w:t>大气污染物最大地面浓度预测</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862"/>
              <w:gridCol w:w="838"/>
              <w:gridCol w:w="837"/>
              <w:gridCol w:w="1325"/>
              <w:gridCol w:w="1613"/>
              <w:gridCol w:w="1312"/>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791" w:type="dxa"/>
                  <w:gridSpan w:val="2"/>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污染源</w:t>
                  </w:r>
                </w:p>
              </w:tc>
              <w:tc>
                <w:tcPr>
                  <w:tcW w:w="1675" w:type="dxa"/>
                  <w:gridSpan w:val="2"/>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标准（</w:t>
                  </w:r>
                  <w:r>
                    <w:rPr>
                      <w:rFonts w:hint="default" w:ascii="Times New Roman" w:hAnsi="Times New Roman" w:cs="Times New Roman"/>
                      <w:sz w:val="21"/>
                      <w:szCs w:val="21"/>
                      <w:lang w:val="en-US" w:eastAsia="zh-CN"/>
                    </w:rPr>
                    <w:t>mg/m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eastAsia="zh-CN"/>
                    </w:rPr>
                    <w:t>）</w:t>
                  </w:r>
                </w:p>
              </w:tc>
              <w:tc>
                <w:tcPr>
                  <w:tcW w:w="1325" w:type="dxa"/>
                  <w:noWrap w:val="0"/>
                  <w:vAlign w:val="center"/>
                </w:tcPr>
                <w:p>
                  <w:pPr>
                    <w:pStyle w:val="3"/>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Pmax（%）</w:t>
                  </w:r>
                </w:p>
              </w:tc>
              <w:tc>
                <w:tcPr>
                  <w:tcW w:w="161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Cmax（</w:t>
                  </w:r>
                  <w:r>
                    <w:rPr>
                      <w:rFonts w:hint="default" w:ascii="Times New Roman" w:hAnsi="Times New Roman" w:cs="Times New Roman"/>
                      <w:sz w:val="21"/>
                      <w:szCs w:val="21"/>
                      <w:lang w:val="en-US" w:eastAsia="zh-CN"/>
                    </w:rPr>
                    <w:t>mg/m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eastAsia="zh-CN"/>
                    </w:rPr>
                    <w:t>）</w:t>
                  </w:r>
                </w:p>
              </w:tc>
              <w:tc>
                <w:tcPr>
                  <w:tcW w:w="1312"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Dmax（</w:t>
                  </w:r>
                  <w:r>
                    <w:rPr>
                      <w:rFonts w:hint="default" w:ascii="Times New Roman" w:hAnsi="Times New Roman" w:cs="Times New Roman"/>
                      <w:sz w:val="21"/>
                      <w:szCs w:val="21"/>
                      <w:lang w:val="en-US" w:eastAsia="zh-CN"/>
                    </w:rPr>
                    <w:t>m</w:t>
                  </w:r>
                  <w:r>
                    <w:rPr>
                      <w:rFonts w:hint="default" w:ascii="Times New Roman" w:hAnsi="Times New Roman" w:cs="Times New Roman"/>
                      <w:sz w:val="21"/>
                      <w:szCs w:val="21"/>
                      <w:lang w:eastAsia="zh-CN"/>
                    </w:rPr>
                    <w:t>）</w:t>
                  </w:r>
                </w:p>
              </w:tc>
              <w:tc>
                <w:tcPr>
                  <w:tcW w:w="1004"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D</w:t>
                  </w:r>
                  <w:r>
                    <w:rPr>
                      <w:rFonts w:hint="default" w:ascii="Times New Roman" w:hAnsi="Times New Roman" w:cs="Times New Roman"/>
                      <w:sz w:val="21"/>
                      <w:szCs w:val="21"/>
                      <w:vertAlign w:val="sub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29" w:type="dxa"/>
                  <w:noWrap w:val="0"/>
                  <w:vAlign w:val="center"/>
                </w:tcPr>
                <w:p>
                  <w:pPr>
                    <w:spacing w:line="360" w:lineRule="exact"/>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点源</w:t>
                  </w:r>
                </w:p>
              </w:tc>
              <w:tc>
                <w:tcPr>
                  <w:tcW w:w="862"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排气筒</w:t>
                  </w:r>
                </w:p>
              </w:tc>
              <w:tc>
                <w:tcPr>
                  <w:tcW w:w="83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w:t>
                  </w:r>
                  <w:r>
                    <w:rPr>
                      <w:rFonts w:hint="default" w:ascii="Times New Roman" w:hAnsi="Times New Roman" w:cs="Times New Roman"/>
                      <w:sz w:val="21"/>
                      <w:szCs w:val="21"/>
                      <w:vertAlign w:val="subscript"/>
                      <w:lang w:val="en-US" w:eastAsia="zh-CN"/>
                    </w:rPr>
                    <w:t>10</w:t>
                  </w:r>
                </w:p>
              </w:tc>
              <w:tc>
                <w:tcPr>
                  <w:tcW w:w="837"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0.15</w:t>
                  </w:r>
                </w:p>
              </w:tc>
              <w:tc>
                <w:tcPr>
                  <w:tcW w:w="1325" w:type="dxa"/>
                  <w:noWrap w:val="0"/>
                  <w:vAlign w:val="center"/>
                </w:tcPr>
                <w:p>
                  <w:pPr>
                    <w:pStyle w:val="3"/>
                    <w:jc w:val="center"/>
                    <w:rPr>
                      <w:rFonts w:hint="default" w:ascii="Times New Roman" w:hAnsi="Times New Roman" w:cs="Times New Roman"/>
                      <w:sz w:val="21"/>
                      <w:szCs w:val="21"/>
                      <w:lang w:val="en-US"/>
                    </w:rPr>
                  </w:pPr>
                  <w:r>
                    <w:rPr>
                      <w:rFonts w:hint="eastAsia" w:ascii="Times New Roman" w:hAnsi="Times New Roman" w:cs="Times New Roman"/>
                      <w:sz w:val="21"/>
                      <w:szCs w:val="21"/>
                      <w:lang w:val="en-US" w:eastAsia="zh-CN"/>
                    </w:rPr>
                    <w:t>1.29</w:t>
                  </w:r>
                </w:p>
              </w:tc>
              <w:tc>
                <w:tcPr>
                  <w:tcW w:w="1613" w:type="dxa"/>
                  <w:noWrap w:val="0"/>
                  <w:vAlign w:val="center"/>
                </w:tcPr>
                <w:p>
                  <w:pPr>
                    <w:spacing w:line="36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5.81E-03</w:t>
                  </w:r>
                </w:p>
              </w:tc>
              <w:tc>
                <w:tcPr>
                  <w:tcW w:w="1312" w:type="dxa"/>
                  <w:noWrap w:val="0"/>
                  <w:vAlign w:val="center"/>
                </w:tcPr>
                <w:p>
                  <w:pPr>
                    <w:spacing w:line="360" w:lineRule="exact"/>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199</w:t>
                  </w:r>
                </w:p>
              </w:tc>
              <w:tc>
                <w:tcPr>
                  <w:tcW w:w="1004" w:type="dxa"/>
                  <w:noWrap w:val="0"/>
                  <w:vAlign w:val="center"/>
                </w:tcPr>
                <w:p>
                  <w:pPr>
                    <w:spacing w:line="50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dxa"/>
                  <w:noWrap w:val="0"/>
                  <w:vAlign w:val="center"/>
                </w:tcPr>
                <w:p>
                  <w:pPr>
                    <w:spacing w:line="360" w:lineRule="exact"/>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面源</w:t>
                  </w:r>
                </w:p>
              </w:tc>
              <w:tc>
                <w:tcPr>
                  <w:tcW w:w="862" w:type="dxa"/>
                  <w:noWrap w:val="0"/>
                  <w:vAlign w:val="center"/>
                </w:tcPr>
                <w:p>
                  <w:pPr>
                    <w:pStyle w:val="83"/>
                    <w:ind w:firstLine="0" w:firstLineChars="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生产车间</w:t>
                  </w:r>
                  <w:r>
                    <w:rPr>
                      <w:rFonts w:hint="eastAsia" w:ascii="Times New Roman" w:hAnsi="Times New Roman" w:cs="Times New Roman"/>
                      <w:sz w:val="21"/>
                      <w:szCs w:val="21"/>
                      <w:lang w:eastAsia="zh-CN"/>
                    </w:rPr>
                    <w:t>及原料库</w:t>
                  </w:r>
                </w:p>
              </w:tc>
              <w:tc>
                <w:tcPr>
                  <w:tcW w:w="83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TSP</w:t>
                  </w:r>
                </w:p>
              </w:tc>
              <w:tc>
                <w:tcPr>
                  <w:tcW w:w="837"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0.3</w:t>
                  </w:r>
                </w:p>
              </w:tc>
              <w:tc>
                <w:tcPr>
                  <w:tcW w:w="1325" w:type="dxa"/>
                  <w:noWrap w:val="0"/>
                  <w:vAlign w:val="center"/>
                </w:tcPr>
                <w:p>
                  <w:pPr>
                    <w:spacing w:line="36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3.31</w:t>
                  </w:r>
                </w:p>
              </w:tc>
              <w:tc>
                <w:tcPr>
                  <w:tcW w:w="1613" w:type="dxa"/>
                  <w:noWrap w:val="0"/>
                  <w:vAlign w:val="center"/>
                </w:tcPr>
                <w:p>
                  <w:pPr>
                    <w:spacing w:line="36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2.98E-02</w:t>
                  </w:r>
                </w:p>
              </w:tc>
              <w:tc>
                <w:tcPr>
                  <w:tcW w:w="1312" w:type="dxa"/>
                  <w:noWrap w:val="0"/>
                  <w:vAlign w:val="center"/>
                </w:tcPr>
                <w:p>
                  <w:pPr>
                    <w:spacing w:line="36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61</w:t>
                  </w:r>
                </w:p>
              </w:tc>
              <w:tc>
                <w:tcPr>
                  <w:tcW w:w="1004" w:type="dxa"/>
                  <w:noWrap w:val="0"/>
                  <w:vAlign w:val="center"/>
                </w:tcPr>
                <w:p>
                  <w:pPr>
                    <w:spacing w:line="50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bl>
          <w:p>
            <w:pPr>
              <w:pStyle w:val="58"/>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黑体" w:hAnsi="黑体" w:eastAsia="黑体" w:cs="黑体"/>
                <w:sz w:val="21"/>
                <w:szCs w:val="21"/>
              </w:rPr>
            </w:pPr>
            <w:r>
              <w:rPr>
                <w:rFonts w:hint="eastAsia" w:ascii="黑体" w:hAnsi="黑体" w:eastAsia="黑体" w:cs="黑体"/>
                <w:sz w:val="21"/>
                <w:szCs w:val="21"/>
              </w:rPr>
              <w:t>备注：上表中颗粒物评价标准为日均值，根据《环境影响评价技术导则 大气环境》（HJ2.2-20</w:t>
            </w:r>
            <w:r>
              <w:rPr>
                <w:rFonts w:hint="eastAsia" w:ascii="黑体" w:hAnsi="黑体" w:eastAsia="黑体" w:cs="黑体"/>
                <w:sz w:val="21"/>
                <w:szCs w:val="21"/>
                <w:lang w:val="en-US" w:eastAsia="zh-CN"/>
              </w:rPr>
              <w:t>1</w:t>
            </w:r>
            <w:r>
              <w:rPr>
                <w:rFonts w:hint="eastAsia" w:ascii="黑体" w:hAnsi="黑体" w:eastAsia="黑体" w:cs="黑体"/>
                <w:sz w:val="21"/>
                <w:szCs w:val="21"/>
              </w:rPr>
              <w:t>8）</w:t>
            </w:r>
            <w:r>
              <w:rPr>
                <w:rFonts w:hint="eastAsia" w:ascii="黑体" w:hAnsi="黑体" w:eastAsia="黑体" w:cs="黑体"/>
                <w:sz w:val="21"/>
                <w:szCs w:val="21"/>
                <w:lang w:eastAsia="zh-CN"/>
              </w:rPr>
              <w:t>：对仅有日平均质量浓度限值的，可</w:t>
            </w:r>
            <w:r>
              <w:rPr>
                <w:rFonts w:hint="eastAsia" w:ascii="黑体" w:hAnsi="黑体" w:eastAsia="黑体" w:cs="黑体"/>
                <w:sz w:val="21"/>
                <w:szCs w:val="21"/>
              </w:rPr>
              <w:t>按</w:t>
            </w:r>
            <w:r>
              <w:rPr>
                <w:rFonts w:hint="eastAsia" w:ascii="黑体" w:hAnsi="黑体" w:eastAsia="黑体" w:cs="黑体"/>
                <w:sz w:val="21"/>
                <w:szCs w:val="21"/>
                <w:lang w:val="en-US" w:eastAsia="zh-CN"/>
              </w:rPr>
              <w:t>3</w:t>
            </w:r>
            <w:r>
              <w:rPr>
                <w:rFonts w:hint="eastAsia" w:ascii="黑体" w:hAnsi="黑体" w:eastAsia="黑体" w:cs="黑体"/>
                <w:sz w:val="21"/>
                <w:szCs w:val="21"/>
              </w:rPr>
              <w:t>倍</w:t>
            </w:r>
            <w:r>
              <w:rPr>
                <w:rFonts w:hint="eastAsia" w:ascii="黑体" w:hAnsi="黑体" w:eastAsia="黑体" w:cs="黑体"/>
                <w:sz w:val="21"/>
                <w:szCs w:val="21"/>
                <w:lang w:eastAsia="zh-CN"/>
              </w:rPr>
              <w:t>折算为</w:t>
            </w:r>
            <w:r>
              <w:rPr>
                <w:rFonts w:hint="eastAsia" w:ascii="黑体" w:hAnsi="黑体" w:eastAsia="黑体" w:cs="黑体"/>
                <w:sz w:val="21"/>
                <w:szCs w:val="21"/>
                <w:lang w:val="en-US" w:eastAsia="zh-CN"/>
              </w:rPr>
              <w:t>1h</w:t>
            </w:r>
            <w:r>
              <w:rPr>
                <w:rFonts w:hint="eastAsia" w:ascii="黑体" w:hAnsi="黑体" w:eastAsia="黑体" w:cs="黑体"/>
                <w:sz w:val="21"/>
                <w:szCs w:val="21"/>
                <w:lang w:eastAsia="zh-CN"/>
              </w:rPr>
              <w:t>平均质量浓度限值</w:t>
            </w:r>
            <w:r>
              <w:rPr>
                <w:rFonts w:hint="eastAsia" w:ascii="黑体" w:hAnsi="黑体" w:eastAsia="黑体" w:cs="黑体"/>
                <w:sz w:val="21"/>
                <w:szCs w:val="21"/>
              </w:rPr>
              <w:t>。</w:t>
            </w:r>
          </w:p>
          <w:p>
            <w:pPr>
              <w:pStyle w:val="15"/>
              <w:keepNext w:val="0"/>
              <w:keepLines w:val="0"/>
              <w:pageBreakBefore w:val="0"/>
              <w:widowControl w:val="0"/>
              <w:kinsoku/>
              <w:wordWrap/>
              <w:overflowPunct/>
              <w:topLinePunct w:val="0"/>
              <w:bidi w:val="0"/>
              <w:adjustRightInd/>
              <w:snapToGrid/>
              <w:spacing w:after="0" w:afterLines="0" w:line="520" w:lineRule="exact"/>
              <w:ind w:firstLine="480" w:firstLineChars="200"/>
              <w:rPr>
                <w:rFonts w:hint="default"/>
                <w:sz w:val="24"/>
                <w:szCs w:val="24"/>
              </w:rPr>
            </w:pPr>
            <w:r>
              <w:rPr>
                <w:rFonts w:hint="default"/>
                <w:sz w:val="24"/>
                <w:szCs w:val="24"/>
              </w:rPr>
              <w:t>项目环境空气影响评价工作等级依据《环境影响评价技术导则•大气环境》（HJ</w:t>
            </w:r>
            <w:r>
              <w:rPr>
                <w:rFonts w:hint="eastAsia"/>
                <w:sz w:val="24"/>
                <w:szCs w:val="24"/>
                <w:lang w:val="en-US" w:eastAsia="zh-CN"/>
              </w:rPr>
              <w:t xml:space="preserve"> </w:t>
            </w:r>
            <w:r>
              <w:rPr>
                <w:rFonts w:hint="default"/>
                <w:sz w:val="24"/>
                <w:szCs w:val="24"/>
              </w:rPr>
              <w:t>2.2-20</w:t>
            </w:r>
            <w:r>
              <w:rPr>
                <w:rFonts w:hint="default"/>
                <w:sz w:val="24"/>
                <w:szCs w:val="24"/>
                <w:lang w:val="en-US" w:eastAsia="zh-CN"/>
              </w:rPr>
              <w:t>1</w:t>
            </w:r>
            <w:r>
              <w:rPr>
                <w:rFonts w:hint="default"/>
                <w:sz w:val="24"/>
                <w:szCs w:val="24"/>
              </w:rPr>
              <w:t>8）中有关计算公式、划分原则计算判别如下：</w:t>
            </w:r>
          </w:p>
          <w:p>
            <w:pPr>
              <w:pStyle w:val="15"/>
              <w:keepNext w:val="0"/>
              <w:keepLines w:val="0"/>
              <w:pageBreakBefore w:val="0"/>
              <w:widowControl w:val="0"/>
              <w:kinsoku/>
              <w:wordWrap/>
              <w:overflowPunct/>
              <w:topLinePunct w:val="0"/>
              <w:bidi w:val="0"/>
              <w:adjustRightInd/>
              <w:snapToGrid/>
              <w:spacing w:after="0" w:afterLines="0" w:line="520" w:lineRule="exact"/>
              <w:ind w:firstLine="3120" w:firstLineChars="1300"/>
              <w:rPr>
                <w:sz w:val="24"/>
                <w:szCs w:val="24"/>
              </w:rPr>
            </w:pPr>
            <w:r>
              <w:rPr>
                <w:sz w:val="24"/>
                <w:szCs w:val="24"/>
              </w:rPr>
              <w:t>Pi =Ci/C</w:t>
            </w:r>
            <w:r>
              <w:rPr>
                <w:sz w:val="24"/>
                <w:szCs w:val="24"/>
                <w:vertAlign w:val="subscript"/>
              </w:rPr>
              <w:t>0</w:t>
            </w:r>
            <w:r>
              <w:rPr>
                <w:sz w:val="24"/>
                <w:szCs w:val="24"/>
              </w:rPr>
              <w:t>i</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bottom"/>
              <w:outlineLvl w:val="9"/>
              <w:rPr>
                <w:sz w:val="24"/>
                <w:szCs w:val="24"/>
                <w:lang w:val="en-US" w:eastAsia="zh-CN"/>
              </w:rPr>
            </w:pPr>
            <w:r>
              <w:rPr>
                <w:sz w:val="24"/>
                <w:szCs w:val="24"/>
                <w:lang w:val="en-US" w:eastAsia="zh-CN"/>
              </w:rPr>
              <w:t>Pi —第i个污染物的最大地面</w:t>
            </w:r>
            <w:r>
              <w:rPr>
                <w:rFonts w:hint="default"/>
                <w:sz w:val="24"/>
                <w:szCs w:val="24"/>
                <w:lang w:val="en-US" w:eastAsia="zh-CN"/>
              </w:rPr>
              <w:t>空气质量</w:t>
            </w:r>
            <w:r>
              <w:rPr>
                <w:sz w:val="24"/>
                <w:szCs w:val="24"/>
                <w:lang w:val="en-US" w:eastAsia="zh-CN"/>
              </w:rPr>
              <w:t>浓度占标率，%；</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bottom"/>
              <w:outlineLvl w:val="9"/>
              <w:rPr>
                <w:sz w:val="24"/>
                <w:szCs w:val="24"/>
                <w:lang w:val="en-US" w:eastAsia="zh-CN"/>
              </w:rPr>
            </w:pPr>
            <w:r>
              <w:rPr>
                <w:sz w:val="24"/>
                <w:szCs w:val="24"/>
                <w:lang w:val="en-US" w:eastAsia="zh-CN"/>
              </w:rPr>
              <w:t>Ci —采用估算模式计算出的第i个污染物</w:t>
            </w:r>
            <w:r>
              <w:rPr>
                <w:rFonts w:hint="default"/>
                <w:sz w:val="24"/>
                <w:szCs w:val="24"/>
                <w:lang w:val="en-US" w:eastAsia="zh-CN"/>
              </w:rPr>
              <w:t>的</w:t>
            </w:r>
            <w:r>
              <w:rPr>
                <w:sz w:val="24"/>
                <w:szCs w:val="24"/>
                <w:lang w:val="en-US" w:eastAsia="zh-CN"/>
              </w:rPr>
              <w:t>最大</w:t>
            </w:r>
            <w:r>
              <w:rPr>
                <w:rFonts w:hint="default"/>
                <w:sz w:val="24"/>
                <w:szCs w:val="24"/>
                <w:lang w:val="en-US" w:eastAsia="zh-CN"/>
              </w:rPr>
              <w:t>1h</w:t>
            </w:r>
            <w:r>
              <w:rPr>
                <w:sz w:val="24"/>
                <w:szCs w:val="24"/>
                <w:lang w:val="en-US" w:eastAsia="zh-CN"/>
              </w:rPr>
              <w:t>地面</w:t>
            </w:r>
            <w:r>
              <w:rPr>
                <w:rFonts w:hint="default"/>
                <w:sz w:val="24"/>
                <w:szCs w:val="24"/>
                <w:lang w:val="en-US" w:eastAsia="zh-CN"/>
              </w:rPr>
              <w:t>空气质量</w:t>
            </w:r>
            <w:r>
              <w:rPr>
                <w:sz w:val="24"/>
                <w:szCs w:val="24"/>
                <w:lang w:val="en-US" w:eastAsia="zh-CN"/>
              </w:rPr>
              <w:t>浓度，μg/m</w:t>
            </w:r>
            <w:r>
              <w:rPr>
                <w:sz w:val="24"/>
                <w:szCs w:val="24"/>
                <w:vertAlign w:val="superscript"/>
                <w:lang w:val="en-US" w:eastAsia="zh-CN"/>
              </w:rPr>
              <w:t>3</w:t>
            </w:r>
            <w:r>
              <w:rPr>
                <w:sz w:val="24"/>
                <w:szCs w:val="24"/>
                <w:lang w:val="en-US" w:eastAsia="zh-CN"/>
              </w:rPr>
              <w:t>；</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bottom"/>
              <w:outlineLvl w:val="9"/>
              <w:rPr>
                <w:sz w:val="24"/>
                <w:szCs w:val="24"/>
                <w:lang w:val="en-US" w:eastAsia="zh-CN"/>
              </w:rPr>
            </w:pPr>
            <w:r>
              <w:rPr>
                <w:sz w:val="24"/>
                <w:szCs w:val="24"/>
                <w:lang w:val="en-US" w:eastAsia="zh-CN"/>
              </w:rPr>
              <w:t>Coi—第i个污染物的</w:t>
            </w:r>
            <w:r>
              <w:rPr>
                <w:rFonts w:hint="default"/>
                <w:sz w:val="24"/>
                <w:szCs w:val="24"/>
                <w:lang w:val="en-US" w:eastAsia="zh-CN"/>
              </w:rPr>
              <w:t>环境空气质量浓度</w:t>
            </w:r>
            <w:r>
              <w:rPr>
                <w:sz w:val="24"/>
                <w:szCs w:val="24"/>
                <w:lang w:val="en-US" w:eastAsia="zh-CN"/>
              </w:rPr>
              <w:t>标准，μg/m</w:t>
            </w:r>
            <w:r>
              <w:rPr>
                <w:sz w:val="24"/>
                <w:szCs w:val="24"/>
                <w:vertAlign w:val="superscript"/>
                <w:lang w:val="en-US" w:eastAsia="zh-CN"/>
              </w:rPr>
              <w:t>3</w:t>
            </w:r>
            <w:r>
              <w:rPr>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sz w:val="24"/>
                <w:szCs w:val="24"/>
              </w:rPr>
            </w:pPr>
            <w:r>
              <w:rPr>
                <w:rFonts w:hint="default"/>
                <w:sz w:val="24"/>
                <w:szCs w:val="24"/>
                <w:lang w:eastAsia="zh-CN"/>
              </w:rPr>
              <w:t>《环境影响评价技术导则</w:t>
            </w:r>
            <w:r>
              <w:rPr>
                <w:rFonts w:hint="default"/>
                <w:sz w:val="24"/>
                <w:szCs w:val="24"/>
                <w:lang w:val="en-US" w:eastAsia="zh-CN"/>
              </w:rPr>
              <w:t xml:space="preserve"> 大气环境</w:t>
            </w:r>
            <w:r>
              <w:rPr>
                <w:rFonts w:hint="default"/>
                <w:sz w:val="24"/>
                <w:szCs w:val="24"/>
                <w:lang w:eastAsia="zh-CN"/>
              </w:rPr>
              <w:t>》（</w:t>
            </w:r>
            <w:r>
              <w:rPr>
                <w:rFonts w:hint="default"/>
                <w:sz w:val="24"/>
                <w:szCs w:val="24"/>
                <w:lang w:val="en-US" w:eastAsia="zh-CN"/>
              </w:rPr>
              <w:t>HJ</w:t>
            </w:r>
            <w:r>
              <w:rPr>
                <w:rFonts w:hint="eastAsia"/>
                <w:sz w:val="24"/>
                <w:szCs w:val="24"/>
                <w:lang w:val="en-US" w:eastAsia="zh-CN"/>
              </w:rPr>
              <w:t xml:space="preserve"> </w:t>
            </w:r>
            <w:r>
              <w:rPr>
                <w:rFonts w:hint="default"/>
                <w:sz w:val="24"/>
                <w:szCs w:val="24"/>
                <w:lang w:val="en-US" w:eastAsia="zh-CN"/>
              </w:rPr>
              <w:t>2.2-2018</w:t>
            </w:r>
            <w:r>
              <w:rPr>
                <w:rFonts w:hint="default"/>
                <w:sz w:val="24"/>
                <w:szCs w:val="24"/>
                <w:lang w:eastAsia="zh-CN"/>
              </w:rPr>
              <w:t>）的大气评价工作分级依据见下表。</w:t>
            </w:r>
          </w:p>
          <w:p>
            <w:pPr>
              <w:spacing w:line="520" w:lineRule="exact"/>
              <w:ind w:firstLine="465"/>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30</w:t>
            </w:r>
            <w:r>
              <w:rPr>
                <w:rFonts w:hint="default"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eastAsia="zh-CN"/>
              </w:rPr>
              <w:t>大气评价工作分级判定依据</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0"/>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评价工作等级</w:t>
                  </w:r>
                </w:p>
              </w:tc>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评价工作判定依据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一级</w:t>
                  </w:r>
                </w:p>
              </w:tc>
              <w:tc>
                <w:tcPr>
                  <w:tcW w:w="436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Pmax≥10%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二级</w:t>
                  </w:r>
                </w:p>
              </w:tc>
              <w:tc>
                <w:tcPr>
                  <w:tcW w:w="436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1%≤Pmax＜10%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三级</w:t>
                  </w:r>
                </w:p>
              </w:tc>
              <w:tc>
                <w:tcPr>
                  <w:tcW w:w="436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Pmax＜1%</w:t>
                  </w:r>
                </w:p>
              </w:tc>
            </w:tr>
          </w:tbl>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rPr>
              <w:t>经计算，</w:t>
            </w:r>
            <w:r>
              <w:rPr>
                <w:rFonts w:hint="default" w:ascii="Times New Roman" w:hAnsi="Times New Roman" w:cs="Times New Roman"/>
                <w:lang w:eastAsia="zh-CN"/>
              </w:rPr>
              <w:t>厂区运营期间本项目</w:t>
            </w:r>
            <w:r>
              <w:rPr>
                <w:rFonts w:hint="default" w:ascii="Times New Roman" w:hAnsi="Times New Roman" w:cs="Times New Roman"/>
              </w:rPr>
              <w:t>有</w:t>
            </w:r>
            <w:r>
              <w:rPr>
                <w:rFonts w:hint="default" w:ascii="Times New Roman" w:hAnsi="Times New Roman" w:cs="Times New Roman"/>
                <w:color w:val="auto"/>
              </w:rPr>
              <w:t>组织</w:t>
            </w:r>
            <w:r>
              <w:rPr>
                <w:rFonts w:hint="default" w:ascii="Times New Roman" w:hAnsi="Times New Roman" w:cs="Times New Roman"/>
                <w:color w:val="auto"/>
                <w:lang w:eastAsia="zh-CN"/>
              </w:rPr>
              <w:t>废气排放最大</w:t>
            </w:r>
            <w:r>
              <w:rPr>
                <w:rFonts w:hint="default" w:ascii="Times New Roman" w:hAnsi="Times New Roman" w:cs="Times New Roman"/>
                <w:color w:val="auto"/>
              </w:rPr>
              <w:t>占标率为</w:t>
            </w:r>
            <w:r>
              <w:rPr>
                <w:rFonts w:hint="eastAsia" w:ascii="Times New Roman" w:hAnsi="Times New Roman" w:cs="Times New Roman"/>
                <w:color w:val="auto"/>
                <w:lang w:val="en-US" w:eastAsia="zh-CN"/>
              </w:rPr>
              <w:t>1.29</w:t>
            </w:r>
            <w:r>
              <w:rPr>
                <w:rFonts w:hint="default" w:ascii="Times New Roman" w:hAnsi="Times New Roman" w:cs="Times New Roman"/>
                <w:color w:val="auto"/>
              </w:rPr>
              <w:t>%</w:t>
            </w:r>
            <w:r>
              <w:rPr>
                <w:rFonts w:hint="default" w:ascii="Times New Roman" w:hAnsi="Times New Roman" w:cs="Times New Roman"/>
                <w:color w:val="auto"/>
                <w:lang w:eastAsia="zh-CN"/>
              </w:rPr>
              <w:t>，</w:t>
            </w:r>
            <w:r>
              <w:rPr>
                <w:rFonts w:hint="default" w:ascii="Times New Roman" w:hAnsi="Times New Roman" w:cs="Times New Roman"/>
              </w:rPr>
              <w:t>无组织</w:t>
            </w:r>
            <w:r>
              <w:rPr>
                <w:rFonts w:hint="default" w:ascii="Times New Roman" w:hAnsi="Times New Roman" w:cs="Times New Roman"/>
                <w:lang w:eastAsia="zh-CN"/>
              </w:rPr>
              <w:t>废气</w:t>
            </w:r>
            <w:r>
              <w:rPr>
                <w:rFonts w:hint="default" w:ascii="Times New Roman" w:hAnsi="Times New Roman" w:cs="Times New Roman"/>
              </w:rPr>
              <w:t>排放最大占标率为</w:t>
            </w:r>
            <w:r>
              <w:rPr>
                <w:rFonts w:hint="eastAsia" w:ascii="Times New Roman" w:hAnsi="Times New Roman" w:cs="Times New Roman"/>
                <w:lang w:val="en-US" w:eastAsia="zh-CN"/>
              </w:rPr>
              <w:t>3.31</w:t>
            </w:r>
            <w:r>
              <w:rPr>
                <w:rFonts w:hint="default" w:ascii="Times New Roman" w:hAnsi="Times New Roman" w:cs="Times New Roman"/>
              </w:rPr>
              <w:t>%，</w:t>
            </w:r>
            <w:r>
              <w:rPr>
                <w:rFonts w:hint="default" w:ascii="Times New Roman" w:hAnsi="Times New Roman" w:cs="Times New Roman"/>
                <w:lang w:val="en-US" w:eastAsia="zh-CN"/>
              </w:rPr>
              <w:t>根据大气评价工作分级判定依据，本项目大气评价等级为二级，不进行进一步预测与评价，只对污染物排放量进行核算。</w:t>
            </w:r>
          </w:p>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1）污染物排放量核算</w:t>
            </w:r>
          </w:p>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default" w:ascii="Times New Roman" w:hAnsi="Times New Roman" w:cs="Times New Roman"/>
              </w:rPr>
            </w:pPr>
            <w:r>
              <w:rPr>
                <w:rFonts w:hint="default" w:ascii="Times New Roman" w:hAnsi="Times New Roman" w:cs="Times New Roman"/>
                <w:lang w:val="en-US" w:eastAsia="zh-CN"/>
              </w:rPr>
              <w:t>厂区大气污染物有组织排放量核算见下表：</w:t>
            </w:r>
          </w:p>
          <w:p>
            <w:pPr>
              <w:spacing w:line="520" w:lineRule="exact"/>
              <w:ind w:firstLine="465"/>
              <w:rPr>
                <w:rFonts w:hint="default" w:eastAsia="黑体"/>
                <w:b w:val="0"/>
                <w:bCs w:val="0"/>
                <w:color w:val="auto"/>
                <w:sz w:val="24"/>
                <w:u w:val="none"/>
                <w:lang w:eastAsia="zh-CN"/>
              </w:rPr>
            </w:pPr>
            <w:r>
              <w:rPr>
                <w:rFonts w:hint="default" w:eastAsia="黑体"/>
                <w:b w:val="0"/>
                <w:bCs w:val="0"/>
                <w:color w:val="auto"/>
                <w:sz w:val="24"/>
                <w:u w:val="none"/>
              </w:rPr>
              <w:t>表</w:t>
            </w:r>
            <w:r>
              <w:rPr>
                <w:rFonts w:hint="eastAsia" w:eastAsia="黑体"/>
                <w:b w:val="0"/>
                <w:bCs w:val="0"/>
                <w:color w:val="auto"/>
                <w:sz w:val="24"/>
                <w:u w:val="none"/>
                <w:lang w:val="en-US" w:eastAsia="zh-CN"/>
              </w:rPr>
              <w:t>31</w:t>
            </w:r>
            <w:r>
              <w:rPr>
                <w:rFonts w:hint="default" w:eastAsia="黑体"/>
                <w:b w:val="0"/>
                <w:bCs w:val="0"/>
                <w:color w:val="auto"/>
                <w:sz w:val="24"/>
                <w:u w:val="none"/>
              </w:rPr>
              <w:t xml:space="preserve">              </w:t>
            </w:r>
            <w:r>
              <w:rPr>
                <w:rFonts w:hint="default" w:eastAsia="黑体"/>
                <w:b w:val="0"/>
                <w:bCs w:val="0"/>
                <w:color w:val="auto"/>
                <w:sz w:val="24"/>
                <w:u w:val="none"/>
                <w:lang w:eastAsia="zh-CN"/>
              </w:rPr>
              <w:t>大气污染物有组织排放量核算表</w:t>
            </w:r>
          </w:p>
          <w:tbl>
            <w:tblPr>
              <w:tblStyle w:val="3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85"/>
              <w:gridCol w:w="709"/>
              <w:gridCol w:w="850"/>
              <w:gridCol w:w="2127"/>
              <w:gridCol w:w="2551"/>
              <w:gridCol w:w="1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7" w:hRule="atLeast"/>
                <w:jc w:val="center"/>
              </w:trPr>
              <w:tc>
                <w:tcPr>
                  <w:tcW w:w="685"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序号</w:t>
                  </w:r>
                </w:p>
              </w:tc>
              <w:tc>
                <w:tcPr>
                  <w:tcW w:w="709"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排放口编号</w:t>
                  </w:r>
                </w:p>
              </w:tc>
              <w:tc>
                <w:tcPr>
                  <w:tcW w:w="850"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污染物</w:t>
                  </w:r>
                </w:p>
              </w:tc>
              <w:tc>
                <w:tcPr>
                  <w:tcW w:w="2127" w:type="dxa"/>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核算排放浓度</w:t>
                  </w:r>
                </w:p>
                <w:p>
                  <w:pPr>
                    <w:pStyle w:val="3"/>
                    <w:jc w:val="center"/>
                    <w:rPr>
                      <w:rFonts w:ascii="Times New Roman" w:hAnsi="Times New Roman" w:cs="Times New Roman"/>
                      <w:kern w:val="2"/>
                      <w:sz w:val="21"/>
                      <w:szCs w:val="21"/>
                    </w:rPr>
                  </w:pPr>
                  <w:r>
                    <w:rPr>
                      <w:rFonts w:hint="eastAsia" w:ascii="Times New Roman" w:hAnsi="Times New Roman"/>
                      <w:kern w:val="2"/>
                      <w:sz w:val="21"/>
                      <w:szCs w:val="21"/>
                    </w:rPr>
                    <w:t>（</w:t>
                  </w:r>
                  <w:r>
                    <w:rPr>
                      <w:rFonts w:ascii="Times New Roman" w:hAnsi="Times New Roman" w:cs="Times New Roman"/>
                      <w:kern w:val="2"/>
                      <w:sz w:val="21"/>
                      <w:szCs w:val="21"/>
                    </w:rPr>
                    <w:t>µg/m</w:t>
                  </w:r>
                  <w:r>
                    <w:rPr>
                      <w:rFonts w:ascii="Times New Roman" w:hAnsi="Times New Roman" w:cs="Times New Roman"/>
                      <w:kern w:val="2"/>
                      <w:sz w:val="21"/>
                      <w:szCs w:val="21"/>
                      <w:vertAlign w:val="superscript"/>
                    </w:rPr>
                    <w:t>3</w:t>
                  </w:r>
                  <w:r>
                    <w:rPr>
                      <w:rFonts w:hint="eastAsia" w:ascii="Times New Roman" w:hAnsi="Times New Roman"/>
                      <w:kern w:val="2"/>
                      <w:sz w:val="21"/>
                      <w:szCs w:val="21"/>
                    </w:rPr>
                    <w:t>）</w:t>
                  </w:r>
                </w:p>
              </w:tc>
              <w:tc>
                <w:tcPr>
                  <w:tcW w:w="2551" w:type="dxa"/>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核算排放速率（</w:t>
                  </w:r>
                  <w:r>
                    <w:rPr>
                      <w:rFonts w:hint="eastAsia" w:ascii="Times New Roman" w:hAnsi="Times New Roman" w:cs="Times New Roman"/>
                      <w:kern w:val="2"/>
                      <w:sz w:val="21"/>
                      <w:szCs w:val="21"/>
                    </w:rPr>
                    <w:t>kg/h</w:t>
                  </w:r>
                  <w:r>
                    <w:rPr>
                      <w:rFonts w:hint="eastAsia" w:ascii="宋体" w:hAnsi="宋体"/>
                      <w:kern w:val="2"/>
                      <w:sz w:val="21"/>
                      <w:szCs w:val="21"/>
                    </w:rPr>
                    <w:t>）</w:t>
                  </w:r>
                </w:p>
              </w:tc>
              <w:tc>
                <w:tcPr>
                  <w:tcW w:w="1636" w:type="dxa"/>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核算</w:t>
                  </w:r>
                  <w:r>
                    <w:rPr>
                      <w:rFonts w:ascii="Times New Roman" w:hAnsi="Times New Roman" w:cs="Times New Roman"/>
                      <w:kern w:val="2"/>
                      <w:sz w:val="21"/>
                      <w:szCs w:val="21"/>
                    </w:rPr>
                    <w:t>年排放量</w:t>
                  </w:r>
                </w:p>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（t/a</w:t>
                  </w:r>
                  <w:r>
                    <w:rPr>
                      <w:rFonts w:hint="eastAsia" w:ascii="宋体" w:hAnsi="宋体"/>
                      <w:kern w:val="2"/>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558" w:type="dxa"/>
                  <w:gridSpan w:val="6"/>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主要排放口</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85" w:type="dxa"/>
                  <w:noWrap w:val="0"/>
                  <w:vAlign w:val="center"/>
                </w:tcPr>
                <w:p>
                  <w:pPr>
                    <w:pStyle w:val="3"/>
                    <w:jc w:val="center"/>
                    <w:rPr>
                      <w:rFonts w:hint="eastAsia" w:ascii="Times New Roman" w:hAnsi="Times New Roman" w:eastAsia="宋体" w:cs="Times New Roman"/>
                      <w:kern w:val="2"/>
                      <w:sz w:val="21"/>
                      <w:szCs w:val="21"/>
                      <w:lang w:eastAsia="zh-CN"/>
                    </w:rPr>
                  </w:pPr>
                  <w:r>
                    <w:rPr>
                      <w:rFonts w:hint="eastAsia" w:ascii="Times New Roman" w:hAnsi="Times New Roman"/>
                      <w:kern w:val="2"/>
                      <w:sz w:val="21"/>
                      <w:szCs w:val="21"/>
                      <w:lang w:val="en-US" w:eastAsia="zh-CN"/>
                    </w:rPr>
                    <w:t>1</w:t>
                  </w:r>
                </w:p>
              </w:tc>
              <w:tc>
                <w:tcPr>
                  <w:tcW w:w="709"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001</w:t>
                  </w:r>
                </w:p>
              </w:tc>
              <w:tc>
                <w:tcPr>
                  <w:tcW w:w="850"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颗粒物</w:t>
                  </w:r>
                </w:p>
              </w:tc>
              <w:tc>
                <w:tcPr>
                  <w:tcW w:w="2127"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7500</w:t>
                  </w:r>
                </w:p>
              </w:tc>
              <w:tc>
                <w:tcPr>
                  <w:tcW w:w="2551"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0.075</w:t>
                  </w:r>
                </w:p>
              </w:tc>
              <w:tc>
                <w:tcPr>
                  <w:tcW w:w="1636"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0.181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394" w:type="dxa"/>
                  <w:gridSpan w:val="2"/>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主要排放口合计</w:t>
                  </w:r>
                </w:p>
              </w:tc>
              <w:tc>
                <w:tcPr>
                  <w:tcW w:w="5528" w:type="dxa"/>
                  <w:gridSpan w:val="3"/>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颗粒物</w:t>
                  </w:r>
                </w:p>
              </w:tc>
              <w:tc>
                <w:tcPr>
                  <w:tcW w:w="1636" w:type="dxa"/>
                  <w:noWrap w:val="0"/>
                  <w:vAlign w:val="center"/>
                </w:tcPr>
                <w:p>
                  <w:pPr>
                    <w:pStyle w:val="3"/>
                    <w:jc w:val="center"/>
                    <w:rPr>
                      <w:rFonts w:hint="default" w:ascii="Times New Roman" w:hAnsi="Times New Roman" w:cs="Times New Roman"/>
                      <w:kern w:val="2"/>
                      <w:sz w:val="21"/>
                      <w:szCs w:val="21"/>
                      <w:lang w:val="en-US"/>
                    </w:rPr>
                  </w:pPr>
                  <w:r>
                    <w:rPr>
                      <w:rFonts w:hint="eastAsia" w:ascii="Times New Roman" w:hAnsi="Times New Roman"/>
                      <w:kern w:val="2"/>
                      <w:sz w:val="21"/>
                      <w:szCs w:val="21"/>
                      <w:lang w:val="en-US" w:eastAsia="zh-CN"/>
                    </w:rPr>
                    <w:t>0.181</w:t>
                  </w:r>
                </w:p>
              </w:tc>
            </w:tr>
          </w:tbl>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eastAsia"/>
                <w:lang w:val="en-US" w:eastAsia="zh-CN"/>
              </w:rPr>
            </w:pPr>
            <w:r>
              <w:rPr>
                <w:rFonts w:hint="eastAsia"/>
                <w:lang w:val="en-US" w:eastAsia="zh-CN"/>
              </w:rPr>
              <w:t>厂区大气污染物无组织排放量核算见下表：</w:t>
            </w:r>
          </w:p>
          <w:p>
            <w:pPr>
              <w:spacing w:line="520" w:lineRule="exact"/>
              <w:ind w:firstLine="465"/>
              <w:jc w:val="both"/>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32</w:t>
            </w:r>
            <w:r>
              <w:rPr>
                <w:rFonts w:hint="default"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eastAsia="zh-CN"/>
              </w:rPr>
              <w:t>大气污染物无组织排放量核算表</w:t>
            </w:r>
          </w:p>
          <w:tbl>
            <w:tblPr>
              <w:tblStyle w:val="33"/>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660"/>
              <w:gridCol w:w="1115"/>
              <w:gridCol w:w="698"/>
              <w:gridCol w:w="1800"/>
              <w:gridCol w:w="1637"/>
              <w:gridCol w:w="117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序号</w:t>
                  </w:r>
                </w:p>
              </w:tc>
              <w:tc>
                <w:tcPr>
                  <w:tcW w:w="66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排放口编号</w:t>
                  </w:r>
                </w:p>
              </w:tc>
              <w:tc>
                <w:tcPr>
                  <w:tcW w:w="1115"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产污环节</w:t>
                  </w:r>
                </w:p>
              </w:tc>
              <w:tc>
                <w:tcPr>
                  <w:tcW w:w="698"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污染物</w:t>
                  </w:r>
                </w:p>
              </w:tc>
              <w:tc>
                <w:tcPr>
                  <w:tcW w:w="180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主要污染防治措施</w:t>
                  </w:r>
                </w:p>
              </w:tc>
              <w:tc>
                <w:tcPr>
                  <w:tcW w:w="2807" w:type="dxa"/>
                  <w:gridSpan w:val="2"/>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国家或地方污染物排放标准</w:t>
                  </w:r>
                </w:p>
              </w:tc>
              <w:tc>
                <w:tcPr>
                  <w:tcW w:w="111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年排放量</w:t>
                  </w:r>
                </w:p>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t/a</w:t>
                  </w:r>
                  <w:r>
                    <w:rPr>
                      <w:rFonts w:hint="default" w:ascii="Times New Roman" w:hAnsi="Times New Roman"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66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115"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698"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80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63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标准名称</w:t>
                  </w:r>
                </w:p>
              </w:tc>
              <w:tc>
                <w:tcPr>
                  <w:tcW w:w="1170"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浓度限值</w:t>
                  </w:r>
                </w:p>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mg/m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eastAsia="zh-CN"/>
                    </w:rPr>
                    <w:t>）</w:t>
                  </w:r>
                </w:p>
              </w:tc>
              <w:tc>
                <w:tcPr>
                  <w:tcW w:w="111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8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p>
              </w:tc>
              <w:tc>
                <w:tcPr>
                  <w:tcW w:w="66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001</w:t>
                  </w:r>
                </w:p>
              </w:tc>
              <w:tc>
                <w:tcPr>
                  <w:tcW w:w="1115"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原料装卸</w:t>
                  </w:r>
                </w:p>
              </w:tc>
              <w:tc>
                <w:tcPr>
                  <w:tcW w:w="698"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颗粒物</w:t>
                  </w:r>
                </w:p>
              </w:tc>
              <w:tc>
                <w:tcPr>
                  <w:tcW w:w="180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eastAsia="zh-CN"/>
                    </w:rPr>
                  </w:pPr>
                  <w:r>
                    <w:rPr>
                      <w:rFonts w:hint="default" w:ascii="Times New Roman" w:hAnsi="Times New Roman" w:cs="Times New Roman"/>
                      <w:sz w:val="21"/>
                      <w:szCs w:val="21"/>
                    </w:rPr>
                    <w:t>全封闭生产车间</w:t>
                  </w:r>
                  <w:r>
                    <w:rPr>
                      <w:rFonts w:hint="default" w:ascii="Times New Roman" w:hAnsi="Times New Roman" w:cs="Times New Roman"/>
                      <w:sz w:val="21"/>
                      <w:szCs w:val="21"/>
                      <w:lang w:eastAsia="zh-CN"/>
                    </w:rPr>
                    <w:t>，内设喷干雾装置，</w:t>
                  </w:r>
                  <w:r>
                    <w:rPr>
                      <w:rFonts w:hint="default" w:ascii="Times New Roman" w:hAnsi="Times New Roman" w:cs="Times New Roman"/>
                      <w:sz w:val="21"/>
                      <w:szCs w:val="21"/>
                      <w:lang w:val="en-US" w:eastAsia="zh-CN"/>
                    </w:rPr>
                    <w:t>厂房内配备雾炮装置，</w:t>
                  </w:r>
                  <w:r>
                    <w:rPr>
                      <w:rFonts w:hint="default" w:ascii="Times New Roman" w:hAnsi="Times New Roman" w:cs="Times New Roman"/>
                      <w:sz w:val="21"/>
                      <w:szCs w:val="21"/>
                      <w:lang w:eastAsia="zh-CN"/>
                    </w:rPr>
                    <w:t>全封闭式输送带输送</w:t>
                  </w:r>
                  <w:r>
                    <w:rPr>
                      <w:rFonts w:hint="default" w:ascii="Times New Roman" w:hAnsi="Times New Roman" w:cs="Times New Roman"/>
                      <w:sz w:val="21"/>
                      <w:szCs w:val="21"/>
                      <w:lang w:val="en-US" w:eastAsia="zh-CN"/>
                    </w:rPr>
                    <w:t>，皮带输送机、卸料点应设置密闭罩并配备除尘设施</w:t>
                  </w:r>
                </w:p>
              </w:tc>
              <w:tc>
                <w:tcPr>
                  <w:tcW w:w="1637"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rPr>
                    <w:t>《大气污染物综合排放标准》（GB16297-1996）</w:t>
                  </w:r>
                </w:p>
              </w:tc>
              <w:tc>
                <w:tcPr>
                  <w:tcW w:w="117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w:t>
                  </w:r>
                </w:p>
              </w:tc>
              <w:tc>
                <w:tcPr>
                  <w:tcW w:w="1110" w:type="dxa"/>
                  <w:noWrap w:val="0"/>
                  <w:vAlign w:val="center"/>
                </w:tcPr>
                <w:p>
                  <w:pPr>
                    <w:pStyle w:val="59"/>
                    <w:spacing w:line="32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0.0365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48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66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115"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sz w:val="21"/>
                      <w:szCs w:val="21"/>
                      <w:lang w:eastAsia="zh-CN"/>
                    </w:rPr>
                    <w:t>输送、投</w:t>
                  </w:r>
                  <w:r>
                    <w:rPr>
                      <w:sz w:val="21"/>
                      <w:szCs w:val="21"/>
                    </w:rPr>
                    <w:t>料</w:t>
                  </w:r>
                  <w:r>
                    <w:rPr>
                      <w:rFonts w:hint="eastAsia"/>
                      <w:sz w:val="21"/>
                      <w:szCs w:val="21"/>
                      <w:lang w:eastAsia="zh-CN"/>
                    </w:rPr>
                    <w:t>、</w:t>
                  </w:r>
                  <w:r>
                    <w:rPr>
                      <w:sz w:val="21"/>
                      <w:szCs w:val="21"/>
                    </w:rPr>
                    <w:t>搅拌</w:t>
                  </w:r>
                </w:p>
              </w:tc>
              <w:tc>
                <w:tcPr>
                  <w:tcW w:w="698"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80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rPr>
                  </w:pPr>
                </w:p>
              </w:tc>
              <w:tc>
                <w:tcPr>
                  <w:tcW w:w="1637"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rPr>
                  </w:pPr>
                </w:p>
              </w:tc>
              <w:tc>
                <w:tcPr>
                  <w:tcW w:w="117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110"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0" w:type="dxa"/>
                  <w:gridSpan w:val="8"/>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无组织排放总计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3" w:type="dxa"/>
                  <w:gridSpan w:val="4"/>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无组织排放总计</w:t>
                  </w:r>
                </w:p>
              </w:tc>
              <w:tc>
                <w:tcPr>
                  <w:tcW w:w="3437" w:type="dxa"/>
                  <w:gridSpan w:val="2"/>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颗粒物</w:t>
                  </w:r>
                </w:p>
              </w:tc>
              <w:tc>
                <w:tcPr>
                  <w:tcW w:w="2280" w:type="dxa"/>
                  <w:gridSpan w:val="2"/>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0.137</w:t>
                  </w:r>
                </w:p>
              </w:tc>
            </w:tr>
          </w:tbl>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eastAsia"/>
              </w:rPr>
            </w:pPr>
            <w:r>
              <w:rPr>
                <w:rFonts w:hint="eastAsia"/>
                <w:lang w:val="en-US" w:eastAsia="zh-CN"/>
              </w:rPr>
              <w:t>厂区大气污染物年排放量核算见下表：</w:t>
            </w:r>
          </w:p>
          <w:p>
            <w:pPr>
              <w:spacing w:line="520" w:lineRule="exact"/>
              <w:ind w:firstLine="465"/>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33</w:t>
            </w:r>
            <w:r>
              <w:rPr>
                <w:rFonts w:hint="default"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val="en-US" w:eastAsia="zh-CN"/>
              </w:rPr>
              <w:t xml:space="preserve">  </w:t>
            </w:r>
            <w:r>
              <w:rPr>
                <w:rFonts w:hint="eastAsia" w:eastAsia="黑体"/>
                <w:b w:val="0"/>
                <w:bCs w:val="0"/>
                <w:color w:val="auto"/>
                <w:sz w:val="24"/>
                <w:u w:val="none"/>
                <w:lang w:eastAsia="zh-CN"/>
              </w:rPr>
              <w:t>大气污染物排放量核算表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907"/>
              <w:gridCol w:w="2633"/>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序号</w:t>
                  </w:r>
                </w:p>
              </w:tc>
              <w:tc>
                <w:tcPr>
                  <w:tcW w:w="290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排放方式</w:t>
                  </w:r>
                </w:p>
              </w:tc>
              <w:tc>
                <w:tcPr>
                  <w:tcW w:w="2633"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污染物</w:t>
                  </w:r>
                </w:p>
              </w:tc>
              <w:tc>
                <w:tcPr>
                  <w:tcW w:w="2426"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年排放量（t/a）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p>
              </w:tc>
              <w:tc>
                <w:tcPr>
                  <w:tcW w:w="290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有组织排放</w:t>
                  </w:r>
                </w:p>
              </w:tc>
              <w:tc>
                <w:tcPr>
                  <w:tcW w:w="2633"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颗粒物</w:t>
                  </w:r>
                </w:p>
              </w:tc>
              <w:tc>
                <w:tcPr>
                  <w:tcW w:w="2426"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54"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p>
              </w:tc>
              <w:tc>
                <w:tcPr>
                  <w:tcW w:w="290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无组织排放</w:t>
                  </w:r>
                </w:p>
              </w:tc>
              <w:tc>
                <w:tcPr>
                  <w:tcW w:w="2633"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颗粒物</w:t>
                  </w:r>
                </w:p>
              </w:tc>
              <w:tc>
                <w:tcPr>
                  <w:tcW w:w="2426"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0.137</w:t>
                  </w:r>
                </w:p>
              </w:tc>
            </w:tr>
          </w:tbl>
          <w:p>
            <w:pPr>
              <w:adjustRightInd w:val="0"/>
              <w:snapToGrid w:val="0"/>
              <w:ind w:firstLine="480"/>
              <w:rPr>
                <w:rFonts w:hint="default" w:ascii="Times New Roman" w:hAnsi="Times New Roman" w:cs="Times New Roman"/>
                <w:sz w:val="24"/>
                <w:szCs w:val="24"/>
              </w:rPr>
            </w:pPr>
            <w:r>
              <w:rPr>
                <w:rFonts w:hint="default" w:ascii="Times New Roman" w:hAnsi="Times New Roman" w:cs="Times New Roman"/>
                <w:sz w:val="24"/>
                <w:szCs w:val="24"/>
              </w:rPr>
              <w:t>本项目无组织废气对边界影响预测见下表：</w:t>
            </w:r>
          </w:p>
          <w:p>
            <w:pPr>
              <w:pStyle w:val="58"/>
              <w:ind w:firstLine="600" w:firstLineChars="250"/>
              <w:jc w:val="both"/>
              <w:rPr>
                <w:rFonts w:hint="default" w:ascii="Times New Roman" w:hAnsi="Times New Roman" w:eastAsia="黑体" w:cs="Times New Roman"/>
                <w:color w:val="auto"/>
                <w:lang w:val="en-US" w:eastAsia="zh-CN"/>
              </w:rPr>
            </w:pPr>
          </w:p>
          <w:p>
            <w:pPr>
              <w:pStyle w:val="58"/>
              <w:ind w:firstLine="600" w:firstLineChars="250"/>
              <w:jc w:val="both"/>
              <w:rPr>
                <w:rFonts w:hint="default" w:ascii="Times New Roman" w:hAnsi="Times New Roman" w:eastAsia="黑体" w:cs="Times New Roman"/>
                <w:lang w:val="en-US" w:eastAsia="zh-CN"/>
              </w:rPr>
            </w:pPr>
            <w:r>
              <w:rPr>
                <w:rFonts w:hint="default" w:ascii="Times New Roman" w:hAnsi="Times New Roman" w:eastAsia="黑体" w:cs="Times New Roman"/>
                <w:color w:val="auto"/>
                <w:lang w:val="en-US" w:eastAsia="zh-CN"/>
              </w:rPr>
              <w:t>表</w:t>
            </w:r>
            <w:r>
              <w:rPr>
                <w:rFonts w:hint="eastAsia" w:ascii="Times New Roman" w:hAnsi="Times New Roman" w:eastAsia="黑体" w:cs="Times New Roman"/>
                <w:color w:val="auto"/>
                <w:lang w:val="en-US" w:eastAsia="zh-CN"/>
              </w:rPr>
              <w:t>34</w:t>
            </w:r>
            <w:r>
              <w:rPr>
                <w:rFonts w:hint="default" w:ascii="Times New Roman" w:hAnsi="Times New Roman" w:eastAsia="黑体" w:cs="Times New Roman"/>
                <w:color w:val="FF0000"/>
                <w:lang w:val="en-US" w:eastAsia="zh-CN"/>
              </w:rPr>
              <w:t xml:space="preserve">  </w:t>
            </w:r>
            <w:r>
              <w:rPr>
                <w:rFonts w:hint="eastAsia" w:ascii="Times New Roman" w:hAnsi="Times New Roman" w:eastAsia="黑体" w:cs="Times New Roman"/>
                <w:color w:val="FF0000"/>
                <w:lang w:val="en-US" w:eastAsia="zh-CN"/>
              </w:rPr>
              <w:t xml:space="preserve">     </w:t>
            </w:r>
            <w:r>
              <w:rPr>
                <w:rFonts w:hint="default" w:ascii="Times New Roman" w:hAnsi="Times New Roman" w:eastAsia="黑体" w:cs="Times New Roman"/>
                <w:lang w:val="en-US" w:eastAsia="zh-CN"/>
              </w:rPr>
              <w:t>无组织废气对边界及敏感点的影响预测结果</w:t>
            </w:r>
          </w:p>
          <w:tbl>
            <w:tblPr>
              <w:tblStyle w:val="32"/>
              <w:tblW w:w="85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355"/>
              <w:gridCol w:w="3060"/>
              <w:gridCol w:w="31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vMerge w:val="restart"/>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下风向距离</w:t>
                  </w:r>
                  <w:r>
                    <w:rPr>
                      <w:rFonts w:hint="default" w:ascii="Times New Roman" w:hAnsi="Times New Roman" w:eastAsia="Calibri" w:cs="Times New Roman"/>
                      <w:sz w:val="21"/>
                      <w:szCs w:val="21"/>
                    </w:rPr>
                    <w:t>(m)</w:t>
                  </w:r>
                </w:p>
              </w:tc>
              <w:tc>
                <w:tcPr>
                  <w:tcW w:w="6190" w:type="dxa"/>
                  <w:gridSpan w:val="2"/>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颗粒物无组织排放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vMerge w:val="continue"/>
                  <w:tcBorders>
                    <w:tl2br w:val="nil"/>
                    <w:tr2bl w:val="nil"/>
                  </w:tcBorders>
                  <w:noWrap w:val="0"/>
                  <w:vAlign w:val="center"/>
                </w:tcPr>
                <w:p>
                  <w:pPr>
                    <w:widowControl/>
                    <w:ind w:firstLine="420"/>
                    <w:jc w:val="center"/>
                    <w:rPr>
                      <w:rFonts w:hint="default" w:ascii="Times New Roman" w:hAnsi="Times New Roman" w:eastAsia="Calibri" w:cs="Times New Roman"/>
                      <w:kern w:val="0"/>
                      <w:sz w:val="21"/>
                      <w:szCs w:val="21"/>
                    </w:rPr>
                  </w:pPr>
                </w:p>
              </w:tc>
              <w:tc>
                <w:tcPr>
                  <w:tcW w:w="3060" w:type="dxa"/>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预测浓度（</w:t>
                  </w:r>
                  <w:r>
                    <w:rPr>
                      <w:rFonts w:hint="default" w:ascii="Times New Roman" w:hAnsi="Times New Roman" w:eastAsia="Calibri" w:cs="Times New Roman"/>
                      <w:sz w:val="21"/>
                      <w:szCs w:val="21"/>
                    </w:rPr>
                    <w:t>mg/</w:t>
                  </w:r>
                  <w:r>
                    <w:rPr>
                      <w:rFonts w:hint="default" w:ascii="Times New Roman" w:hAnsi="Times New Roman" w:cs="Times New Roman"/>
                      <w:sz w:val="21"/>
                      <w:szCs w:val="21"/>
                    </w:rPr>
                    <w:t>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w:t>
                  </w:r>
                </w:p>
              </w:tc>
              <w:tc>
                <w:tcPr>
                  <w:tcW w:w="3130" w:type="dxa"/>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占标率（</w:t>
                  </w:r>
                  <w:r>
                    <w:rPr>
                      <w:rFonts w:hint="default" w:ascii="Times New Roman" w:hAnsi="Times New Roman" w:eastAsia="Calibri" w:cs="Times New Roman"/>
                      <w:sz w:val="21"/>
                      <w:szCs w:val="21"/>
                    </w:rPr>
                    <w:t>%</w:t>
                  </w:r>
                  <w:r>
                    <w:rPr>
                      <w:rFonts w:hint="default" w:ascii="Times New Roman" w:hAnsi="Times New Roman" w:cs="Times New Roman"/>
                      <w:sz w:val="21"/>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tcBorders>
                    <w:tl2br w:val="nil"/>
                    <w:tr2bl w:val="nil"/>
                  </w:tcBorders>
                  <w:noWrap w:val="0"/>
                  <w:vAlign w:val="center"/>
                </w:tcPr>
                <w:p>
                  <w:pPr>
                    <w:autoSpaceDE w:val="0"/>
                    <w:autoSpaceDN w:val="0"/>
                    <w:spacing w:line="240" w:lineRule="atLeast"/>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sz w:val="21"/>
                      <w:szCs w:val="21"/>
                    </w:rPr>
                    <w:t>10m</w:t>
                  </w:r>
                </w:p>
              </w:tc>
              <w:tc>
                <w:tcPr>
                  <w:tcW w:w="3060" w:type="dxa"/>
                  <w:tcBorders>
                    <w:tl2br w:val="nil"/>
                    <w:tr2bl w:val="nil"/>
                  </w:tcBorders>
                  <w:noWrap w:val="0"/>
                  <w:vAlign w:val="center"/>
                </w:tcPr>
                <w:p>
                  <w:pPr>
                    <w:pStyle w:val="85"/>
                    <w:spacing w:line="240" w:lineRule="atLeast"/>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1.41E-02</w:t>
                  </w:r>
                </w:p>
              </w:tc>
              <w:tc>
                <w:tcPr>
                  <w:tcW w:w="3130" w:type="dxa"/>
                  <w:tcBorders>
                    <w:tl2br w:val="nil"/>
                    <w:tr2bl w:val="nil"/>
                  </w:tcBorders>
                  <w:noWrap w:val="0"/>
                  <w:vAlign w:val="center"/>
                </w:tcPr>
                <w:p>
                  <w:pPr>
                    <w:pStyle w:val="85"/>
                    <w:spacing w:line="240" w:lineRule="atLeast"/>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1.57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tcBorders>
                    <w:tl2br w:val="nil"/>
                    <w:tr2bl w:val="nil"/>
                  </w:tcBorders>
                  <w:noWrap w:val="0"/>
                  <w:vAlign w:val="center"/>
                </w:tcPr>
                <w:p>
                  <w:pPr>
                    <w:autoSpaceDE w:val="0"/>
                    <w:autoSpaceDN w:val="0"/>
                    <w:spacing w:line="240" w:lineRule="atLeast"/>
                    <w:ind w:firstLine="0" w:firstLineChars="0"/>
                    <w:jc w:val="center"/>
                    <w:rPr>
                      <w:rFonts w:hint="default" w:ascii="Times New Roman" w:hAnsi="Times New Roman" w:cs="Times New Roman"/>
                      <w:color w:val="000000"/>
                      <w:sz w:val="21"/>
                      <w:szCs w:val="21"/>
                    </w:rPr>
                  </w:pPr>
                  <w:r>
                    <w:rPr>
                      <w:rFonts w:hint="eastAsia" w:cs="Times New Roman"/>
                      <w:sz w:val="21"/>
                      <w:szCs w:val="21"/>
                      <w:lang w:val="en-US" w:eastAsia="zh-CN"/>
                    </w:rPr>
                    <w:t>510</w:t>
                  </w:r>
                  <w:r>
                    <w:rPr>
                      <w:rFonts w:hint="default" w:ascii="Times New Roman" w:hAnsi="Times New Roman" w:cs="Times New Roman"/>
                      <w:sz w:val="21"/>
                      <w:szCs w:val="21"/>
                    </w:rPr>
                    <w:t>m（</w:t>
                  </w:r>
                  <w:r>
                    <w:rPr>
                      <w:rFonts w:hint="eastAsia" w:cs="Times New Roman"/>
                      <w:sz w:val="21"/>
                      <w:szCs w:val="21"/>
                      <w:lang w:eastAsia="zh-CN"/>
                    </w:rPr>
                    <w:t>福林庄村</w:t>
                  </w:r>
                  <w:r>
                    <w:rPr>
                      <w:rFonts w:hint="default" w:ascii="Times New Roman" w:hAnsi="Times New Roman" w:cs="Times New Roman"/>
                      <w:sz w:val="21"/>
                      <w:szCs w:val="21"/>
                    </w:rPr>
                    <w:t>）</w:t>
                  </w:r>
                </w:p>
              </w:tc>
              <w:tc>
                <w:tcPr>
                  <w:tcW w:w="3060" w:type="dxa"/>
                  <w:tcBorders>
                    <w:tl2br w:val="nil"/>
                    <w:tr2bl w:val="nil"/>
                  </w:tcBorders>
                  <w:noWrap w:val="0"/>
                  <w:vAlign w:val="center"/>
                </w:tcPr>
                <w:p>
                  <w:pPr>
                    <w:pStyle w:val="85"/>
                    <w:spacing w:line="240" w:lineRule="atLeast"/>
                    <w:jc w:val="center"/>
                    <w:rPr>
                      <w:rFonts w:hint="default" w:ascii="Times New Roman" w:hAnsi="Times New Roman" w:cs="Times New Roman"/>
                      <w:sz w:val="21"/>
                      <w:szCs w:val="21"/>
                    </w:rPr>
                  </w:pPr>
                  <w:r>
                    <w:rPr>
                      <w:rFonts w:hint="eastAsia" w:ascii="Times New Roman" w:hAnsi="Times New Roman" w:eastAsia="宋体" w:cs="Times New Roman"/>
                      <w:sz w:val="21"/>
                      <w:szCs w:val="21"/>
                      <w:lang w:val="en-US" w:eastAsia="zh-CN"/>
                    </w:rPr>
                    <w:t>4.92E-03</w:t>
                  </w:r>
                </w:p>
              </w:tc>
              <w:tc>
                <w:tcPr>
                  <w:tcW w:w="3130" w:type="dxa"/>
                  <w:tcBorders>
                    <w:tl2br w:val="nil"/>
                    <w:tr2bl w:val="nil"/>
                  </w:tcBorders>
                  <w:noWrap w:val="0"/>
                  <w:vAlign w:val="center"/>
                </w:tcPr>
                <w:p>
                  <w:pPr>
                    <w:pStyle w:val="85"/>
                    <w:spacing w:line="240" w:lineRule="atLeast"/>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0.55</w:t>
                  </w:r>
                </w:p>
              </w:tc>
            </w:tr>
          </w:tbl>
          <w:p>
            <w:pPr>
              <w:keepNext w:val="0"/>
              <w:keepLines w:val="0"/>
              <w:pageBreakBefore w:val="0"/>
              <w:widowControl w:val="0"/>
              <w:kinsoku/>
              <w:wordWrap/>
              <w:overflowPunct/>
              <w:topLinePunct w:val="0"/>
              <w:autoSpaceDE/>
              <w:autoSpaceDN/>
              <w:bidi w:val="0"/>
              <w:adjustRightInd/>
              <w:snapToGrid/>
              <w:spacing w:before="156" w:beforeLines="50"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2）达标分析</w:t>
            </w:r>
          </w:p>
          <w:p>
            <w:pPr>
              <w:spacing w:line="520" w:lineRule="exact"/>
              <w:ind w:firstLine="482" w:firstLineChars="200"/>
              <w:rPr>
                <w:rFonts w:hint="default" w:ascii="Times New Roman" w:hAnsi="Times New Roman" w:cs="Times New Roman"/>
                <w:b/>
                <w:bCs/>
                <w:sz w:val="24"/>
                <w:u w:val="single"/>
              </w:rPr>
            </w:pPr>
            <w:r>
              <w:rPr>
                <w:rFonts w:hint="default" w:ascii="Times New Roman" w:hAnsi="Times New Roman" w:cs="Times New Roman"/>
                <w:b/>
                <w:bCs/>
                <w:sz w:val="24"/>
                <w:u w:val="single"/>
              </w:rPr>
              <w:t>由预测结果可知，本项目有组织颗粒物最大落地浓度出现在车间外</w:t>
            </w:r>
            <w:r>
              <w:rPr>
                <w:rFonts w:hint="eastAsia" w:cs="Times New Roman"/>
                <w:b/>
                <w:bCs/>
                <w:sz w:val="24"/>
                <w:u w:val="single"/>
                <w:lang w:val="en-US" w:eastAsia="zh-CN"/>
              </w:rPr>
              <w:t>199</w:t>
            </w:r>
            <w:r>
              <w:rPr>
                <w:rFonts w:hint="default" w:ascii="Times New Roman" w:hAnsi="Times New Roman" w:cs="Times New Roman"/>
                <w:b/>
                <w:bCs/>
                <w:sz w:val="24"/>
                <w:u w:val="single"/>
              </w:rPr>
              <w:t>m处，浓度为</w:t>
            </w:r>
            <w:r>
              <w:rPr>
                <w:rFonts w:hint="default" w:ascii="Times New Roman" w:hAnsi="Times New Roman" w:cs="Times New Roman"/>
                <w:b/>
                <w:bCs/>
                <w:sz w:val="24"/>
                <w:u w:val="single"/>
                <w:lang w:val="en-US" w:eastAsia="zh-CN"/>
              </w:rPr>
              <w:t>5.81E-03</w:t>
            </w:r>
            <w:r>
              <w:rPr>
                <w:rFonts w:hint="default" w:ascii="Times New Roman" w:hAnsi="Times New Roman" w:cs="Times New Roman"/>
                <w:b/>
                <w:bCs/>
                <w:sz w:val="24"/>
                <w:u w:val="single"/>
              </w:rPr>
              <w:t>mg/m</w:t>
            </w:r>
            <w:r>
              <w:rPr>
                <w:rFonts w:hint="default" w:ascii="Times New Roman" w:hAnsi="Times New Roman" w:cs="Times New Roman"/>
                <w:b/>
                <w:bCs/>
                <w:sz w:val="24"/>
                <w:u w:val="single"/>
                <w:vertAlign w:val="superscript"/>
              </w:rPr>
              <w:t>3</w:t>
            </w:r>
            <w:r>
              <w:rPr>
                <w:rFonts w:hint="default" w:ascii="Times New Roman" w:hAnsi="Times New Roman" w:cs="Times New Roman"/>
                <w:b/>
                <w:bCs/>
                <w:sz w:val="24"/>
                <w:u w:val="single"/>
              </w:rPr>
              <w:t>，最大占标率为</w:t>
            </w:r>
            <w:r>
              <w:rPr>
                <w:rFonts w:hint="eastAsia" w:cs="Times New Roman"/>
                <w:b/>
                <w:bCs/>
                <w:sz w:val="24"/>
                <w:u w:val="single"/>
                <w:lang w:val="en-US" w:eastAsia="zh-CN"/>
              </w:rPr>
              <w:t>1.29</w:t>
            </w:r>
            <w:r>
              <w:rPr>
                <w:rFonts w:hint="default" w:ascii="Times New Roman" w:hAnsi="Times New Roman" w:cs="Times New Roman"/>
                <w:b/>
                <w:bCs/>
                <w:sz w:val="24"/>
                <w:u w:val="single"/>
              </w:rPr>
              <w:t>%，预测浓度均满足《环境空气质量标准》（GB3095-2012）二级标准要求，对周围环境影响小。</w:t>
            </w:r>
          </w:p>
          <w:p>
            <w:pPr>
              <w:spacing w:line="520" w:lineRule="exact"/>
              <w:ind w:firstLine="482" w:firstLineChars="200"/>
              <w:rPr>
                <w:rFonts w:hint="default" w:ascii="Times New Roman" w:hAnsi="Times New Roman" w:cs="Times New Roman"/>
                <w:b/>
                <w:bCs/>
                <w:sz w:val="24"/>
                <w:u w:val="single"/>
              </w:rPr>
            </w:pPr>
            <w:r>
              <w:rPr>
                <w:rFonts w:hint="default" w:ascii="Times New Roman" w:hAnsi="Times New Roman" w:cs="Times New Roman"/>
                <w:b/>
                <w:bCs/>
                <w:sz w:val="24"/>
                <w:u w:val="single"/>
              </w:rPr>
              <w:t>无组织颗粒物最大落地浓度出现在车间外</w:t>
            </w:r>
            <w:r>
              <w:rPr>
                <w:rFonts w:hint="eastAsia" w:cs="Times New Roman"/>
                <w:b/>
                <w:bCs/>
                <w:sz w:val="24"/>
                <w:u w:val="single"/>
                <w:lang w:val="en-US" w:eastAsia="zh-CN"/>
              </w:rPr>
              <w:t>61</w:t>
            </w:r>
            <w:r>
              <w:rPr>
                <w:rFonts w:hint="default" w:ascii="Times New Roman" w:hAnsi="Times New Roman" w:cs="Times New Roman"/>
                <w:b/>
                <w:bCs/>
                <w:sz w:val="24"/>
                <w:u w:val="single"/>
              </w:rPr>
              <w:t>m处，浓度为</w:t>
            </w:r>
            <w:r>
              <w:rPr>
                <w:rFonts w:hint="eastAsia" w:ascii="Times New Roman" w:hAnsi="Times New Roman" w:cs="Times New Roman"/>
                <w:b/>
                <w:bCs/>
                <w:sz w:val="24"/>
                <w:u w:val="single"/>
                <w:lang w:val="en-US" w:eastAsia="zh-CN"/>
              </w:rPr>
              <w:t>2.98E-02</w:t>
            </w:r>
            <w:r>
              <w:rPr>
                <w:rFonts w:hint="default" w:ascii="Times New Roman" w:hAnsi="Times New Roman" w:cs="Times New Roman"/>
                <w:b/>
                <w:bCs/>
                <w:sz w:val="24"/>
                <w:u w:val="single"/>
              </w:rPr>
              <w:t>mg/m</w:t>
            </w:r>
            <w:r>
              <w:rPr>
                <w:rFonts w:hint="default" w:ascii="Times New Roman" w:hAnsi="Times New Roman" w:cs="Times New Roman"/>
                <w:b/>
                <w:bCs/>
                <w:sz w:val="24"/>
                <w:u w:val="single"/>
                <w:vertAlign w:val="superscript"/>
              </w:rPr>
              <w:t>3</w:t>
            </w:r>
            <w:r>
              <w:rPr>
                <w:rFonts w:hint="default" w:ascii="Times New Roman" w:hAnsi="Times New Roman" w:cs="Times New Roman"/>
                <w:b/>
                <w:bCs/>
                <w:sz w:val="24"/>
                <w:u w:val="single"/>
              </w:rPr>
              <w:t>，占标率为</w:t>
            </w:r>
            <w:r>
              <w:rPr>
                <w:rFonts w:hint="eastAsia" w:cs="Times New Roman"/>
                <w:b/>
                <w:bCs/>
                <w:sz w:val="24"/>
                <w:u w:val="single"/>
                <w:lang w:val="en-US" w:eastAsia="zh-CN"/>
              </w:rPr>
              <w:t>3.31</w:t>
            </w:r>
            <w:r>
              <w:rPr>
                <w:rFonts w:hint="default" w:ascii="Times New Roman" w:hAnsi="Times New Roman" w:cs="Times New Roman"/>
                <w:b/>
                <w:bCs/>
                <w:sz w:val="24"/>
                <w:u w:val="single"/>
              </w:rPr>
              <w:t>%。</w:t>
            </w:r>
            <w:r>
              <w:rPr>
                <w:rFonts w:hint="default" w:ascii="Times New Roman" w:hAnsi="Times New Roman" w:cs="Times New Roman"/>
                <w:b/>
                <w:bCs/>
                <w:sz w:val="24"/>
                <w:u w:val="single"/>
                <w:lang w:eastAsia="zh-CN"/>
              </w:rPr>
              <w:t>敏感点</w:t>
            </w:r>
            <w:r>
              <w:rPr>
                <w:rFonts w:hint="default" w:ascii="Times New Roman" w:hAnsi="Times New Roman" w:cs="Times New Roman"/>
                <w:b/>
                <w:bCs/>
                <w:sz w:val="24"/>
                <w:u w:val="single"/>
              </w:rPr>
              <w:t>无组织颗粒物最大落地浓度为</w:t>
            </w:r>
            <w:r>
              <w:rPr>
                <w:rFonts w:hint="eastAsia" w:ascii="Times New Roman" w:hAnsi="Times New Roman" w:cs="Times New Roman"/>
                <w:b/>
                <w:bCs/>
                <w:sz w:val="24"/>
                <w:u w:val="single"/>
                <w:lang w:val="en-US" w:eastAsia="zh-CN"/>
              </w:rPr>
              <w:t>4.92E-03</w:t>
            </w:r>
            <w:r>
              <w:rPr>
                <w:rFonts w:hint="default" w:ascii="Times New Roman" w:hAnsi="Times New Roman" w:cs="Times New Roman"/>
                <w:b/>
                <w:bCs/>
                <w:sz w:val="24"/>
                <w:u w:val="single"/>
              </w:rPr>
              <w:t>mg/m</w:t>
            </w:r>
            <w:r>
              <w:rPr>
                <w:rFonts w:hint="default" w:ascii="Times New Roman" w:hAnsi="Times New Roman" w:cs="Times New Roman"/>
                <w:b/>
                <w:bCs/>
                <w:sz w:val="24"/>
                <w:u w:val="single"/>
                <w:vertAlign w:val="superscript"/>
              </w:rPr>
              <w:t>3</w:t>
            </w:r>
            <w:r>
              <w:rPr>
                <w:rFonts w:hint="default" w:ascii="Times New Roman" w:hAnsi="Times New Roman" w:cs="Times New Roman"/>
                <w:b/>
                <w:bCs/>
                <w:sz w:val="24"/>
                <w:u w:val="single"/>
              </w:rPr>
              <w:t>，占标率为</w:t>
            </w:r>
            <w:r>
              <w:rPr>
                <w:rFonts w:hint="eastAsia" w:cs="Times New Roman"/>
                <w:b/>
                <w:bCs/>
                <w:sz w:val="24"/>
                <w:u w:val="single"/>
                <w:lang w:val="en-US" w:eastAsia="zh-CN"/>
              </w:rPr>
              <w:t>0.55</w:t>
            </w:r>
            <w:r>
              <w:rPr>
                <w:rFonts w:hint="default" w:ascii="Times New Roman" w:hAnsi="Times New Roman" w:cs="Times New Roman"/>
                <w:b/>
                <w:bCs/>
                <w:sz w:val="24"/>
                <w:u w:val="single"/>
              </w:rPr>
              <w:t>%。预测浓度均满足《环境空气质量标准》（GB3095-2012）二级标准要求，对周围环境影响小。</w:t>
            </w:r>
          </w:p>
          <w:p>
            <w:pPr>
              <w:spacing w:line="520" w:lineRule="exact"/>
              <w:ind w:firstLine="482" w:firstLineChars="200"/>
              <w:rPr>
                <w:rFonts w:hint="default" w:ascii="Times New Roman" w:hAnsi="Times New Roman" w:eastAsia="宋体" w:cs="Times New Roman"/>
                <w:b/>
                <w:bCs/>
                <w:sz w:val="24"/>
                <w:szCs w:val="24"/>
                <w:u w:val="single"/>
                <w:lang w:val="en-US" w:eastAsia="zh-CN"/>
              </w:rPr>
            </w:pPr>
            <w:r>
              <w:rPr>
                <w:rFonts w:hint="default" w:ascii="Times New Roman" w:hAnsi="Times New Roman" w:cs="Times New Roman"/>
                <w:b/>
                <w:bCs/>
                <w:sz w:val="24"/>
                <w:u w:val="single"/>
              </w:rPr>
              <w:t>边界无组织颗粒物最大落地浓度为</w:t>
            </w:r>
            <w:r>
              <w:rPr>
                <w:rFonts w:hint="eastAsia" w:ascii="Times New Roman" w:hAnsi="Times New Roman" w:cs="Times New Roman"/>
                <w:b/>
                <w:bCs/>
                <w:sz w:val="24"/>
                <w:u w:val="single"/>
                <w:lang w:val="en-US" w:eastAsia="zh-CN"/>
              </w:rPr>
              <w:t>4.92E-03</w:t>
            </w:r>
            <w:r>
              <w:rPr>
                <w:rFonts w:hint="default" w:ascii="Times New Roman" w:hAnsi="Times New Roman" w:cs="Times New Roman"/>
                <w:b/>
                <w:bCs/>
                <w:sz w:val="24"/>
                <w:u w:val="single"/>
              </w:rPr>
              <w:t>mg/m</w:t>
            </w:r>
            <w:r>
              <w:rPr>
                <w:rFonts w:hint="default" w:ascii="Times New Roman" w:hAnsi="Times New Roman" w:cs="Times New Roman"/>
                <w:b/>
                <w:bCs/>
                <w:sz w:val="24"/>
                <w:u w:val="single"/>
                <w:vertAlign w:val="superscript"/>
              </w:rPr>
              <w:t>3</w:t>
            </w:r>
            <w:r>
              <w:rPr>
                <w:rFonts w:hint="default" w:ascii="Times New Roman" w:hAnsi="Times New Roman" w:cs="Times New Roman"/>
                <w:b/>
                <w:bCs/>
                <w:sz w:val="24"/>
                <w:u w:val="single"/>
              </w:rPr>
              <w:t>，占标率为</w:t>
            </w:r>
            <w:r>
              <w:rPr>
                <w:rFonts w:hint="eastAsia" w:cs="Times New Roman"/>
                <w:b/>
                <w:bCs/>
                <w:sz w:val="24"/>
                <w:u w:val="single"/>
                <w:lang w:val="en-US" w:eastAsia="zh-CN"/>
              </w:rPr>
              <w:t>1.57</w:t>
            </w:r>
            <w:r>
              <w:rPr>
                <w:rFonts w:hint="default" w:ascii="Times New Roman" w:hAnsi="Times New Roman" w:cs="Times New Roman"/>
                <w:b/>
                <w:bCs/>
                <w:sz w:val="24"/>
                <w:u w:val="single"/>
              </w:rPr>
              <w:t>%。无组织颗粒物最大落地浓度满足《大气污染物综合排放标准》（GB16297-1996）二级标准的要求（无组织排放监控浓度限值浓度1.0mg/m</w:t>
            </w:r>
            <w:r>
              <w:rPr>
                <w:rFonts w:hint="default" w:ascii="Times New Roman" w:hAnsi="Times New Roman" w:cs="Times New Roman"/>
                <w:b/>
                <w:bCs/>
                <w:sz w:val="24"/>
                <w:u w:val="single"/>
                <w:vertAlign w:val="superscript"/>
              </w:rPr>
              <w:t>3</w:t>
            </w:r>
            <w:r>
              <w:rPr>
                <w:rFonts w:hint="default" w:ascii="Times New Roman" w:hAnsi="Times New Roman" w:cs="Times New Roman"/>
                <w:b/>
                <w:bCs/>
                <w:sz w:val="24"/>
                <w:u w:val="single"/>
              </w:rPr>
              <w:t>）</w:t>
            </w:r>
            <w:r>
              <w:rPr>
                <w:rFonts w:hint="eastAsia" w:ascii="Times New Roman" w:hAnsi="Times New Roman" w:cs="Times New Roman"/>
                <w:b/>
                <w:bCs/>
                <w:sz w:val="24"/>
                <w:u w:val="single"/>
                <w:lang w:eastAsia="zh-CN"/>
              </w:rPr>
              <w:t>，</w:t>
            </w:r>
            <w:r>
              <w:rPr>
                <w:rFonts w:hint="default" w:ascii="Times New Roman" w:hAnsi="Times New Roman" w:eastAsia="宋体" w:cs="Times New Roman"/>
                <w:b/>
                <w:bCs/>
                <w:sz w:val="24"/>
                <w:szCs w:val="24"/>
                <w:u w:val="single"/>
                <w:lang w:val="en-US" w:eastAsia="zh-CN"/>
              </w:rPr>
              <w:t>对周围环境影响不大。</w:t>
            </w:r>
          </w:p>
          <w:p>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default" w:ascii="Times New Roman" w:hAnsi="Times New Roman" w:eastAsia="宋体" w:cs="Times New Roman"/>
                <w:b/>
                <w:bCs/>
                <w:sz w:val="24"/>
                <w:szCs w:val="24"/>
                <w:u w:val="single"/>
                <w:lang w:val="en-US" w:eastAsia="zh-CN"/>
              </w:rPr>
            </w:pPr>
            <w:r>
              <w:rPr>
                <w:rFonts w:hint="default" w:ascii="Times New Roman" w:hAnsi="Times New Roman" w:eastAsia="宋体" w:cs="Times New Roman"/>
                <w:b/>
                <w:bCs/>
                <w:sz w:val="24"/>
                <w:szCs w:val="24"/>
                <w:u w:val="single"/>
                <w:lang w:val="en-US" w:eastAsia="zh-CN"/>
              </w:rPr>
              <w:t>（</w:t>
            </w:r>
            <w:r>
              <w:rPr>
                <w:rFonts w:hint="eastAsia" w:ascii="Times New Roman" w:hAnsi="Times New Roman" w:eastAsia="宋体" w:cs="Times New Roman"/>
                <w:b/>
                <w:bCs/>
                <w:sz w:val="24"/>
                <w:szCs w:val="24"/>
                <w:u w:val="single"/>
                <w:lang w:val="en-US" w:eastAsia="zh-CN"/>
              </w:rPr>
              <w:t>3</w:t>
            </w:r>
            <w:r>
              <w:rPr>
                <w:rFonts w:hint="default" w:ascii="Times New Roman" w:hAnsi="Times New Roman" w:eastAsia="宋体" w:cs="Times New Roman"/>
                <w:b/>
                <w:bCs/>
                <w:sz w:val="24"/>
                <w:szCs w:val="24"/>
                <w:u w:val="single"/>
                <w:lang w:val="en-US" w:eastAsia="zh-CN"/>
              </w:rPr>
              <w:t>）废气治理措施可行性分析</w:t>
            </w:r>
          </w:p>
          <w:p>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eastAsia" w:ascii="Times New Roman" w:hAnsi="Times New Roman" w:eastAsia="宋体" w:cs="Times New Roman"/>
                <w:b/>
                <w:bCs/>
                <w:sz w:val="24"/>
                <w:u w:val="single"/>
                <w:lang w:eastAsia="zh-CN"/>
              </w:rPr>
            </w:pPr>
            <w:r>
              <w:rPr>
                <w:rFonts w:hint="eastAsia" w:ascii="Times New Roman" w:hAnsi="Times New Roman" w:eastAsia="宋体" w:cs="Times New Roman"/>
                <w:b/>
                <w:bCs/>
                <w:sz w:val="24"/>
                <w:u w:val="single"/>
                <w:lang w:eastAsia="zh-CN"/>
              </w:rPr>
              <w:t>本项目结合当地大气污染攻坚战及</w:t>
            </w:r>
            <w:r>
              <w:rPr>
                <w:rFonts w:hint="default" w:ascii="Times New Roman" w:hAnsi="Times New Roman" w:eastAsia="宋体" w:cs="Times New Roman"/>
                <w:b/>
                <w:bCs/>
                <w:sz w:val="24"/>
                <w:u w:val="single"/>
              </w:rPr>
              <w:t>《河南省生态环境厅关于印发河南省工业大气污染防治6个专项方案的通知[2019]84号》的要求，采取以下措施</w:t>
            </w:r>
            <w:r>
              <w:rPr>
                <w:rFonts w:hint="eastAsia" w:ascii="Times New Roman" w:hAnsi="Times New Roman" w:eastAsia="宋体" w:cs="Times New Roman"/>
                <w:b/>
                <w:bCs/>
                <w:sz w:val="24"/>
                <w:u w:val="single"/>
                <w:lang w:eastAsia="zh-CN"/>
              </w:rPr>
              <w:t>：</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2" w:firstLineChars="200"/>
              <w:textAlignment w:val="auto"/>
              <w:rPr>
                <w:rFonts w:hint="eastAsia" w:ascii="Calibri" w:hAnsi="Calibri" w:eastAsia="宋体" w:cs="Calibri"/>
                <w:b/>
                <w:bCs/>
                <w:sz w:val="24"/>
                <w:szCs w:val="24"/>
                <w:u w:val="single"/>
                <w:lang w:val="en-US" w:eastAsia="zh-CN"/>
              </w:rPr>
            </w:pPr>
            <w:r>
              <w:rPr>
                <w:rFonts w:hint="default" w:ascii="Times New Roman" w:hAnsi="Times New Roman" w:eastAsia="宋体" w:cs="Times New Roman"/>
                <w:b/>
                <w:bCs/>
                <w:sz w:val="24"/>
                <w:u w:val="single"/>
              </w:rPr>
              <w:t>①建设全封闭生产车间</w:t>
            </w:r>
            <w:r>
              <w:rPr>
                <w:rFonts w:hint="eastAsia" w:eastAsia="宋体" w:cs="Times New Roman"/>
                <w:b/>
                <w:bCs/>
                <w:sz w:val="24"/>
                <w:u w:val="single"/>
                <w:lang w:eastAsia="zh-CN"/>
              </w:rPr>
              <w:t>及原料</w:t>
            </w:r>
            <w:r>
              <w:rPr>
                <w:rFonts w:hint="default" w:ascii="Times New Roman" w:hAnsi="Times New Roman" w:eastAsia="宋体" w:cs="Times New Roman"/>
                <w:b/>
                <w:bCs/>
                <w:sz w:val="24"/>
                <w:u w:val="single"/>
              </w:rPr>
              <w:t>，</w:t>
            </w:r>
            <w:r>
              <w:rPr>
                <w:rFonts w:hint="eastAsia" w:ascii="Times New Roman" w:hAnsi="Times New Roman" w:eastAsia="宋体" w:cs="Times New Roman"/>
                <w:b/>
                <w:bCs/>
                <w:sz w:val="24"/>
                <w:u w:val="single"/>
                <w:lang w:eastAsia="zh-CN"/>
              </w:rPr>
              <w:t>厂区道路全部硬化；</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2" w:firstLineChars="200"/>
              <w:textAlignment w:val="auto"/>
              <w:rPr>
                <w:rFonts w:hint="default" w:ascii="Times New Roman" w:hAnsi="Times New Roman" w:eastAsia="宋体" w:cs="Times New Roman"/>
                <w:b/>
                <w:bCs/>
                <w:sz w:val="24"/>
                <w:u w:val="single"/>
              </w:rPr>
            </w:pPr>
            <w:r>
              <w:rPr>
                <w:rFonts w:hint="default" w:ascii="Times New Roman" w:hAnsi="Times New Roman" w:eastAsia="宋体" w:cs="Times New Roman"/>
                <w:b/>
                <w:bCs/>
                <w:sz w:val="24"/>
                <w:u w:val="single"/>
                <w:lang w:val="en-US" w:eastAsia="zh-CN"/>
              </w:rPr>
              <w:fldChar w:fldCharType="begin"/>
            </w:r>
            <w:r>
              <w:rPr>
                <w:rFonts w:hint="default" w:ascii="Times New Roman" w:hAnsi="Times New Roman" w:eastAsia="宋体" w:cs="Times New Roman"/>
                <w:b/>
                <w:bCs/>
                <w:sz w:val="24"/>
                <w:u w:val="single"/>
                <w:lang w:val="en-US" w:eastAsia="zh-CN"/>
              </w:rPr>
              <w:instrText xml:space="preserve"> = 2 \* GB3 \* MERGEFORMAT </w:instrText>
            </w:r>
            <w:r>
              <w:rPr>
                <w:rFonts w:hint="default" w:ascii="Times New Roman" w:hAnsi="Times New Roman" w:eastAsia="宋体" w:cs="Times New Roman"/>
                <w:b/>
                <w:bCs/>
                <w:sz w:val="24"/>
                <w:u w:val="single"/>
                <w:lang w:val="en-US" w:eastAsia="zh-CN"/>
              </w:rPr>
              <w:fldChar w:fldCharType="separate"/>
            </w:r>
            <w:r>
              <w:rPr>
                <w:rFonts w:hint="default" w:ascii="Times New Roman" w:hAnsi="Times New Roman" w:eastAsia="宋体" w:cs="Times New Roman"/>
                <w:b/>
                <w:bCs/>
                <w:sz w:val="24"/>
                <w:u w:val="single"/>
              </w:rPr>
              <w:t>②</w:t>
            </w:r>
            <w:r>
              <w:rPr>
                <w:rFonts w:hint="default" w:ascii="Times New Roman" w:hAnsi="Times New Roman" w:eastAsia="宋体" w:cs="Times New Roman"/>
                <w:b/>
                <w:bCs/>
                <w:sz w:val="24"/>
                <w:u w:val="single"/>
                <w:lang w:val="en-US" w:eastAsia="zh-CN"/>
              </w:rPr>
              <w:fldChar w:fldCharType="end"/>
            </w:r>
            <w:r>
              <w:rPr>
                <w:rFonts w:hint="default" w:ascii="Times New Roman" w:hAnsi="Times New Roman" w:eastAsia="宋体" w:cs="Times New Roman"/>
                <w:b/>
                <w:bCs/>
                <w:sz w:val="24"/>
                <w:u w:val="single"/>
              </w:rPr>
              <w:t>在生产车间</w:t>
            </w:r>
            <w:r>
              <w:rPr>
                <w:rFonts w:hint="eastAsia" w:ascii="Times New Roman" w:hAnsi="Times New Roman" w:eastAsia="宋体" w:cs="Times New Roman"/>
                <w:b/>
                <w:bCs/>
                <w:sz w:val="24"/>
                <w:u w:val="single"/>
                <w:lang w:eastAsia="zh-CN"/>
              </w:rPr>
              <w:t>、原料库</w:t>
            </w:r>
            <w:r>
              <w:rPr>
                <w:rFonts w:hint="default" w:ascii="Times New Roman" w:hAnsi="Times New Roman" w:eastAsia="宋体" w:cs="Times New Roman"/>
                <w:b/>
                <w:bCs/>
                <w:sz w:val="24"/>
                <w:u w:val="single"/>
              </w:rPr>
              <w:t>上方安装雾化喷淋装置；</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2" w:firstLineChars="200"/>
              <w:textAlignment w:val="auto"/>
              <w:rPr>
                <w:rFonts w:hint="eastAsia" w:ascii="Times New Roman" w:hAnsi="Times New Roman" w:eastAsia="宋体" w:cs="Times New Roman"/>
                <w:b/>
                <w:bCs/>
                <w:sz w:val="24"/>
                <w:szCs w:val="24"/>
                <w:u w:val="single"/>
                <w:lang w:eastAsia="zh-CN"/>
              </w:rPr>
            </w:pPr>
            <w:r>
              <w:rPr>
                <w:rFonts w:hint="default" w:ascii="Times New Roman" w:hAnsi="Times New Roman" w:eastAsia="宋体" w:cs="Times New Roman"/>
                <w:b/>
                <w:bCs/>
                <w:sz w:val="24"/>
                <w:u w:val="single"/>
              </w:rPr>
              <w:fldChar w:fldCharType="begin"/>
            </w:r>
            <w:r>
              <w:rPr>
                <w:rFonts w:hint="default" w:ascii="Times New Roman" w:hAnsi="Times New Roman" w:eastAsia="宋体" w:cs="Times New Roman"/>
                <w:b/>
                <w:bCs/>
                <w:sz w:val="24"/>
                <w:u w:val="single"/>
              </w:rPr>
              <w:instrText xml:space="preserve"> = 3 \* GB3 \* MERGEFORMAT </w:instrText>
            </w:r>
            <w:r>
              <w:rPr>
                <w:rFonts w:hint="default" w:ascii="Times New Roman" w:hAnsi="Times New Roman" w:eastAsia="宋体" w:cs="Times New Roman"/>
                <w:b/>
                <w:bCs/>
                <w:sz w:val="24"/>
                <w:u w:val="single"/>
              </w:rPr>
              <w:fldChar w:fldCharType="separate"/>
            </w:r>
            <w:r>
              <w:rPr>
                <w:rFonts w:hint="default" w:ascii="Times New Roman" w:hAnsi="Times New Roman" w:eastAsia="宋体" w:cs="Times New Roman"/>
                <w:b/>
                <w:bCs/>
                <w:sz w:val="24"/>
                <w:u w:val="single"/>
              </w:rPr>
              <w:t>③</w:t>
            </w:r>
            <w:r>
              <w:rPr>
                <w:rFonts w:hint="default" w:ascii="Times New Roman" w:hAnsi="Times New Roman" w:eastAsia="宋体" w:cs="Times New Roman"/>
                <w:b/>
                <w:bCs/>
                <w:sz w:val="24"/>
                <w:u w:val="single"/>
              </w:rPr>
              <w:fldChar w:fldCharType="end"/>
            </w:r>
            <w:r>
              <w:rPr>
                <w:rFonts w:hint="eastAsia" w:cs="Times New Roman"/>
                <w:b/>
                <w:bCs/>
                <w:sz w:val="24"/>
                <w:u w:val="single"/>
                <w:lang w:eastAsia="zh-CN"/>
              </w:rPr>
              <w:t>生产设备安装在全封闭的生产车间内，</w:t>
            </w:r>
            <w:r>
              <w:rPr>
                <w:rFonts w:hint="eastAsia" w:eastAsia="宋体" w:cs="Times New Roman"/>
                <w:b/>
                <w:bCs/>
                <w:sz w:val="24"/>
                <w:u w:val="single"/>
                <w:lang w:eastAsia="zh-CN"/>
              </w:rPr>
              <w:t>罐仓颗粒物经仓顶除尘器处理后引入搅拌机</w:t>
            </w:r>
            <w:r>
              <w:rPr>
                <w:rFonts w:hint="eastAsia" w:cs="Times New Roman"/>
                <w:b/>
                <w:bCs/>
                <w:sz w:val="24"/>
                <w:u w:val="single"/>
                <w:lang w:eastAsia="zh-CN"/>
              </w:rPr>
              <w:t>配套</w:t>
            </w:r>
            <w:r>
              <w:rPr>
                <w:rFonts w:hint="eastAsia" w:eastAsia="宋体" w:cs="Times New Roman"/>
                <w:b/>
                <w:bCs/>
                <w:sz w:val="24"/>
                <w:u w:val="single"/>
                <w:lang w:eastAsia="zh-CN"/>
              </w:rPr>
              <w:t>安装的除尘器处理，配料口及搅拌机上方</w:t>
            </w:r>
            <w:r>
              <w:rPr>
                <w:rFonts w:hint="default" w:ascii="Times New Roman" w:hAnsi="Times New Roman" w:eastAsia="宋体" w:cs="Times New Roman"/>
                <w:b/>
                <w:bCs/>
                <w:sz w:val="24"/>
                <w:szCs w:val="24"/>
                <w:u w:val="single"/>
              </w:rPr>
              <w:t>设置</w:t>
            </w:r>
            <w:r>
              <w:rPr>
                <w:rFonts w:hint="eastAsia" w:cs="Times New Roman"/>
                <w:b/>
                <w:bCs/>
                <w:sz w:val="24"/>
                <w:szCs w:val="24"/>
                <w:u w:val="single"/>
                <w:lang w:eastAsia="zh-CN"/>
              </w:rPr>
              <w:t>半封闭</w:t>
            </w:r>
            <w:r>
              <w:rPr>
                <w:rFonts w:hint="default" w:ascii="Times New Roman" w:hAnsi="Times New Roman" w:eastAsia="宋体" w:cs="Times New Roman"/>
                <w:b/>
                <w:bCs/>
                <w:sz w:val="24"/>
                <w:szCs w:val="24"/>
                <w:u w:val="single"/>
              </w:rPr>
              <w:t>集气罩，</w:t>
            </w:r>
            <w:r>
              <w:rPr>
                <w:rFonts w:hint="eastAsia" w:cs="Times New Roman"/>
                <w:b/>
                <w:bCs/>
                <w:sz w:val="24"/>
                <w:szCs w:val="24"/>
                <w:u w:val="single"/>
                <w:lang w:eastAsia="zh-CN"/>
              </w:rPr>
              <w:t>搅拌机进行二次封闭，</w:t>
            </w:r>
            <w:r>
              <w:rPr>
                <w:rFonts w:hint="default" w:ascii="Times New Roman" w:hAnsi="Times New Roman" w:eastAsia="宋体" w:cs="Times New Roman"/>
                <w:b/>
                <w:bCs/>
                <w:sz w:val="24"/>
                <w:szCs w:val="24"/>
                <w:u w:val="single"/>
              </w:rPr>
              <w:t>收集</w:t>
            </w:r>
            <w:r>
              <w:rPr>
                <w:rFonts w:hint="eastAsia" w:cs="Times New Roman"/>
                <w:b/>
                <w:bCs/>
                <w:sz w:val="24"/>
                <w:szCs w:val="24"/>
                <w:u w:val="single"/>
                <w:lang w:eastAsia="zh-CN"/>
              </w:rPr>
              <w:t>的</w:t>
            </w:r>
            <w:r>
              <w:rPr>
                <w:rFonts w:hint="default" w:ascii="Times New Roman" w:hAnsi="Times New Roman" w:eastAsia="宋体" w:cs="Times New Roman"/>
                <w:b/>
                <w:bCs/>
                <w:sz w:val="24"/>
                <w:szCs w:val="24"/>
                <w:u w:val="single"/>
                <w:lang w:eastAsia="zh-CN"/>
              </w:rPr>
              <w:t>颗粒物</w:t>
            </w:r>
            <w:r>
              <w:rPr>
                <w:rFonts w:hint="default" w:ascii="Times New Roman" w:hAnsi="Times New Roman" w:eastAsia="宋体" w:cs="Times New Roman"/>
                <w:b/>
                <w:bCs/>
                <w:sz w:val="24"/>
                <w:szCs w:val="24"/>
                <w:u w:val="single"/>
              </w:rPr>
              <w:t>经一套袋式除尘器处理；</w:t>
            </w:r>
            <w:r>
              <w:rPr>
                <w:rFonts w:hint="eastAsia" w:ascii="Times New Roman" w:hAnsi="Times New Roman" w:eastAsia="宋体" w:cs="Times New Roman"/>
                <w:b/>
                <w:bCs/>
                <w:sz w:val="24"/>
                <w:szCs w:val="24"/>
                <w:u w:val="single"/>
                <w:lang w:eastAsia="zh-CN"/>
              </w:rPr>
              <w:t>经</w:t>
            </w:r>
            <w:r>
              <w:rPr>
                <w:rFonts w:hint="default" w:ascii="Times New Roman" w:hAnsi="Times New Roman" w:eastAsia="宋体" w:cs="Times New Roman"/>
                <w:b/>
                <w:bCs/>
                <w:sz w:val="24"/>
                <w:szCs w:val="24"/>
                <w:u w:val="single"/>
              </w:rPr>
              <w:t>处理后</w:t>
            </w:r>
            <w:r>
              <w:rPr>
                <w:rFonts w:hint="eastAsia" w:ascii="Times New Roman" w:hAnsi="Times New Roman" w:eastAsia="宋体" w:cs="Times New Roman"/>
                <w:b/>
                <w:bCs/>
                <w:sz w:val="24"/>
                <w:szCs w:val="24"/>
                <w:u w:val="single"/>
                <w:lang w:eastAsia="zh-CN"/>
              </w:rPr>
              <w:t>废气</w:t>
            </w:r>
            <w:r>
              <w:rPr>
                <w:rFonts w:hint="default" w:ascii="Times New Roman" w:hAnsi="Times New Roman" w:eastAsia="宋体" w:cs="Times New Roman"/>
                <w:b/>
                <w:bCs/>
                <w:sz w:val="24"/>
                <w:szCs w:val="24"/>
                <w:u w:val="single"/>
              </w:rPr>
              <w:t>经过不低于15m高排气筒排放</w:t>
            </w:r>
            <w:r>
              <w:rPr>
                <w:rFonts w:hint="eastAsia" w:ascii="Times New Roman" w:hAnsi="Times New Roman" w:eastAsia="宋体" w:cs="Times New Roman"/>
                <w:b/>
                <w:bCs/>
                <w:sz w:val="24"/>
                <w:szCs w:val="24"/>
                <w:u w:val="single"/>
                <w:lang w:eastAsia="zh-CN"/>
              </w:rPr>
              <w:t>；</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2" w:firstLineChars="200"/>
              <w:textAlignment w:val="auto"/>
              <w:rPr>
                <w:rFonts w:hint="default" w:ascii="Times New Roman" w:hAnsi="Times New Roman" w:eastAsia="宋体" w:cs="Times New Roman"/>
                <w:b/>
                <w:bCs/>
                <w:sz w:val="24"/>
                <w:u w:val="single"/>
              </w:rPr>
            </w:pPr>
            <w:r>
              <w:rPr>
                <w:rFonts w:hint="eastAsia" w:ascii="Times New Roman" w:hAnsi="Times New Roman" w:eastAsia="宋体" w:cs="Times New Roman"/>
                <w:b/>
                <w:bCs/>
                <w:sz w:val="24"/>
                <w:u w:val="single"/>
                <w:lang w:val="en-US" w:eastAsia="zh-CN"/>
              </w:rPr>
              <w:fldChar w:fldCharType="begin"/>
            </w:r>
            <w:r>
              <w:rPr>
                <w:rFonts w:hint="eastAsia" w:ascii="Times New Roman" w:hAnsi="Times New Roman" w:eastAsia="宋体" w:cs="Times New Roman"/>
                <w:b/>
                <w:bCs/>
                <w:sz w:val="24"/>
                <w:u w:val="single"/>
                <w:lang w:val="en-US" w:eastAsia="zh-CN"/>
              </w:rPr>
              <w:instrText xml:space="preserve"> = 4 \* GB3 \* MERGEFORMAT </w:instrText>
            </w:r>
            <w:r>
              <w:rPr>
                <w:rFonts w:hint="eastAsia" w:ascii="Times New Roman" w:hAnsi="Times New Roman" w:eastAsia="宋体" w:cs="Times New Roman"/>
                <w:b/>
                <w:bCs/>
                <w:sz w:val="24"/>
                <w:u w:val="single"/>
                <w:lang w:val="en-US" w:eastAsia="zh-CN"/>
              </w:rPr>
              <w:fldChar w:fldCharType="separate"/>
            </w:r>
            <w:r>
              <w:rPr>
                <w:rFonts w:hint="default" w:ascii="Times New Roman" w:hAnsi="Times New Roman" w:eastAsia="宋体" w:cs="Times New Roman"/>
                <w:b/>
                <w:bCs/>
                <w:sz w:val="24"/>
                <w:u w:val="single"/>
              </w:rPr>
              <w:t>④</w:t>
            </w:r>
            <w:r>
              <w:rPr>
                <w:rFonts w:hint="eastAsia" w:ascii="Times New Roman" w:hAnsi="Times New Roman" w:eastAsia="宋体" w:cs="Times New Roman"/>
                <w:b/>
                <w:bCs/>
                <w:sz w:val="24"/>
                <w:u w:val="single"/>
                <w:lang w:val="en-US" w:eastAsia="zh-CN"/>
              </w:rPr>
              <w:fldChar w:fldCharType="end"/>
            </w:r>
            <w:r>
              <w:rPr>
                <w:rFonts w:hint="default" w:ascii="Times New Roman" w:hAnsi="Times New Roman" w:eastAsia="宋体" w:cs="Times New Roman"/>
                <w:b/>
                <w:bCs/>
                <w:sz w:val="24"/>
                <w:u w:val="single"/>
              </w:rPr>
              <w:t>建设全封闭</w:t>
            </w:r>
            <w:r>
              <w:rPr>
                <w:rFonts w:hint="eastAsia" w:eastAsia="宋体" w:cs="Times New Roman"/>
                <w:b/>
                <w:bCs/>
                <w:sz w:val="24"/>
                <w:u w:val="single"/>
                <w:lang w:eastAsia="zh-CN"/>
              </w:rPr>
              <w:t>原料库</w:t>
            </w:r>
            <w:r>
              <w:rPr>
                <w:rFonts w:hint="default" w:ascii="Times New Roman" w:hAnsi="Times New Roman" w:eastAsia="宋体" w:cs="Times New Roman"/>
                <w:b/>
                <w:bCs/>
                <w:sz w:val="24"/>
                <w:u w:val="single"/>
              </w:rPr>
              <w:t>，各原料禁止露天堆存，</w:t>
            </w:r>
            <w:r>
              <w:rPr>
                <w:rFonts w:hint="eastAsia" w:eastAsia="宋体" w:cs="Times New Roman"/>
                <w:b/>
                <w:bCs/>
                <w:sz w:val="24"/>
                <w:u w:val="single"/>
                <w:lang w:eastAsia="zh-CN"/>
              </w:rPr>
              <w:t>粉料储存在罐仓内，</w:t>
            </w:r>
            <w:r>
              <w:rPr>
                <w:rFonts w:hint="default" w:ascii="Times New Roman" w:hAnsi="Times New Roman" w:eastAsia="宋体" w:cs="Times New Roman"/>
                <w:b/>
                <w:bCs/>
                <w:sz w:val="24"/>
                <w:u w:val="single"/>
              </w:rPr>
              <w:t>物料转运在全封闭车回内进行，生产车间等日常应保持全封闭状态；对项目原料间和生产车间成品区进行分区和标识，设置各分区的标志，严格执行，方便项目规范管理。</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2" w:firstLineChars="200"/>
              <w:textAlignment w:val="auto"/>
              <w:rPr>
                <w:rFonts w:hint="default" w:ascii="Times New Roman" w:hAnsi="Times New Roman" w:eastAsia="宋体" w:cs="Times New Roman"/>
                <w:b/>
                <w:bCs/>
                <w:sz w:val="24"/>
                <w:u w:val="single"/>
              </w:rPr>
            </w:pPr>
            <w:r>
              <w:rPr>
                <w:rFonts w:hint="default" w:ascii="Times New Roman" w:hAnsi="Times New Roman" w:eastAsia="宋体" w:cs="Times New Roman"/>
                <w:b/>
                <w:bCs/>
                <w:sz w:val="24"/>
                <w:u w:val="single"/>
              </w:rPr>
              <w:fldChar w:fldCharType="begin"/>
            </w:r>
            <w:r>
              <w:rPr>
                <w:rFonts w:hint="default" w:ascii="Times New Roman" w:hAnsi="Times New Roman" w:eastAsia="宋体" w:cs="Times New Roman"/>
                <w:b/>
                <w:bCs/>
                <w:sz w:val="24"/>
                <w:u w:val="single"/>
              </w:rPr>
              <w:instrText xml:space="preserve"> = 5 \* GB3 \* MERGEFORMAT </w:instrText>
            </w:r>
            <w:r>
              <w:rPr>
                <w:rFonts w:hint="default" w:ascii="Times New Roman" w:hAnsi="Times New Roman" w:eastAsia="宋体" w:cs="Times New Roman"/>
                <w:b/>
                <w:bCs/>
                <w:sz w:val="24"/>
                <w:u w:val="single"/>
              </w:rPr>
              <w:fldChar w:fldCharType="separate"/>
            </w:r>
            <w:r>
              <w:rPr>
                <w:rFonts w:hint="default" w:ascii="Times New Roman" w:hAnsi="Times New Roman" w:eastAsia="宋体" w:cs="Times New Roman"/>
                <w:b/>
                <w:bCs/>
                <w:sz w:val="24"/>
                <w:u w:val="single"/>
              </w:rPr>
              <w:t>⑤</w:t>
            </w:r>
            <w:r>
              <w:rPr>
                <w:rFonts w:hint="default" w:ascii="Times New Roman" w:hAnsi="Times New Roman" w:eastAsia="宋体" w:cs="Times New Roman"/>
                <w:b/>
                <w:bCs/>
                <w:sz w:val="24"/>
                <w:u w:val="single"/>
              </w:rPr>
              <w:fldChar w:fldCharType="end"/>
            </w:r>
            <w:r>
              <w:rPr>
                <w:rFonts w:hint="default" w:ascii="Times New Roman" w:hAnsi="Times New Roman" w:eastAsia="宋体" w:cs="Times New Roman"/>
                <w:b/>
                <w:bCs/>
                <w:sz w:val="24"/>
                <w:u w:val="single"/>
              </w:rPr>
              <w:t>袋式除尘器下料口按照“三侧围挡、一侧进出料”建设，同时降低下料口高度，在下料口设置全封闭软连接与接料容器对接，减少下料过程中颗粒物的产生；</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2" w:firstLineChars="200"/>
              <w:textAlignment w:val="auto"/>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u w:val="single"/>
              </w:rPr>
              <w:fldChar w:fldCharType="begin"/>
            </w:r>
            <w:r>
              <w:rPr>
                <w:rFonts w:hint="default" w:ascii="Times New Roman" w:hAnsi="Times New Roman" w:eastAsia="宋体" w:cs="Times New Roman"/>
                <w:b/>
                <w:bCs/>
                <w:sz w:val="24"/>
                <w:u w:val="single"/>
              </w:rPr>
              <w:instrText xml:space="preserve"> = 6 \* GB3 \* MERGEFORMAT </w:instrText>
            </w:r>
            <w:r>
              <w:rPr>
                <w:rFonts w:hint="default" w:ascii="Times New Roman" w:hAnsi="Times New Roman" w:eastAsia="宋体" w:cs="Times New Roman"/>
                <w:b/>
                <w:bCs/>
                <w:sz w:val="24"/>
                <w:u w:val="single"/>
              </w:rPr>
              <w:fldChar w:fldCharType="separate"/>
            </w:r>
            <w:r>
              <w:rPr>
                <w:rFonts w:hint="default" w:ascii="Times New Roman" w:hAnsi="Times New Roman" w:eastAsia="宋体" w:cs="Times New Roman"/>
                <w:b/>
                <w:bCs/>
                <w:sz w:val="24"/>
                <w:u w:val="single"/>
              </w:rPr>
              <w:t>⑥</w:t>
            </w:r>
            <w:r>
              <w:rPr>
                <w:rFonts w:hint="default" w:ascii="Times New Roman" w:hAnsi="Times New Roman" w:eastAsia="宋体" w:cs="Times New Roman"/>
                <w:b/>
                <w:bCs/>
                <w:sz w:val="24"/>
                <w:u w:val="single"/>
              </w:rPr>
              <w:fldChar w:fldCharType="end"/>
            </w:r>
            <w:r>
              <w:rPr>
                <w:rFonts w:hint="default" w:ascii="Times New Roman" w:hAnsi="Times New Roman" w:eastAsia="宋体" w:cs="Times New Roman"/>
                <w:b/>
                <w:bCs/>
                <w:sz w:val="24"/>
                <w:u w:val="single"/>
              </w:rPr>
              <w:t>厂区内设置酒水装置，定期对生产及厂区地面进行酒水降尘。企业出厂口处配备高压清洗装置对所有车辆车轮、底盘进行冲洗，严禁带泥上路。洗车平台四周应设置洗车废水收集防治设施。</w:t>
            </w:r>
          </w:p>
          <w:p>
            <w:pPr>
              <w:keepNext w:val="0"/>
              <w:keepLines w:val="0"/>
              <w:pageBreakBefore w:val="0"/>
              <w:widowControl w:val="0"/>
              <w:kinsoku/>
              <w:wordWrap/>
              <w:overflowPunct/>
              <w:topLinePunct w:val="0"/>
              <w:autoSpaceDE/>
              <w:autoSpaceDN/>
              <w:bidi w:val="0"/>
              <w:adjustRightInd w:val="0"/>
              <w:snapToGrid w:val="0"/>
              <w:spacing w:line="520" w:lineRule="exact"/>
              <w:ind w:firstLine="482" w:firstLineChars="200"/>
              <w:textAlignment w:val="auto"/>
              <w:rPr>
                <w:rFonts w:hint="default" w:ascii="Times New Roman" w:hAnsi="Times New Roman" w:eastAsia="宋体" w:cs="Times New Roman"/>
                <w:b/>
                <w:bCs/>
                <w:sz w:val="24"/>
                <w:szCs w:val="24"/>
                <w:u w:val="single"/>
              </w:rPr>
            </w:pPr>
            <w:r>
              <w:rPr>
                <w:rFonts w:hint="default" w:ascii="Times New Roman" w:hAnsi="Times New Roman" w:eastAsia="宋体" w:cs="Times New Roman"/>
                <w:b/>
                <w:bCs/>
                <w:sz w:val="24"/>
                <w:szCs w:val="24"/>
                <w:u w:val="single"/>
              </w:rPr>
              <w:t>为了减轻扬尘对运输沿线的污染，评价要求项目运输车辆需封闭遮盖，运输车辆出厂前必须进行车辆清洗，保持车身和轮胎清洁；通过村庄时需减速慢行，减少运输扬尘，最大限度的减轻对运输车辆道路沿线居民的影响。</w:t>
            </w:r>
          </w:p>
          <w:p>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default" w:ascii="Times New Roman" w:hAnsi="Times New Roman" w:eastAsia="宋体" w:cs="Times New Roman"/>
                <w:b w:val="0"/>
                <w:bCs w:val="0"/>
                <w:sz w:val="24"/>
                <w:szCs w:val="24"/>
                <w:u w:val="none"/>
              </w:rPr>
            </w:pPr>
            <w:r>
              <w:rPr>
                <w:rFonts w:hint="eastAsia" w:ascii="Times New Roman" w:hAnsi="Times New Roman" w:eastAsia="宋体" w:cs="Times New Roman"/>
                <w:b w:val="0"/>
                <w:bCs w:val="0"/>
                <w:sz w:val="24"/>
                <w:szCs w:val="24"/>
                <w:u w:val="none"/>
                <w:lang w:eastAsia="zh-CN"/>
              </w:rPr>
              <w:t>项目有组织收集</w:t>
            </w:r>
            <w:r>
              <w:rPr>
                <w:rFonts w:hint="eastAsia" w:eastAsia="宋体" w:cs="Times New Roman"/>
                <w:b w:val="0"/>
                <w:bCs w:val="0"/>
                <w:sz w:val="24"/>
                <w:szCs w:val="24"/>
                <w:u w:val="none"/>
                <w:lang w:eastAsia="zh-CN"/>
              </w:rPr>
              <w:t>颗粒物</w:t>
            </w:r>
            <w:r>
              <w:rPr>
                <w:rFonts w:hint="eastAsia" w:ascii="Times New Roman" w:hAnsi="Times New Roman" w:eastAsia="宋体" w:cs="Times New Roman"/>
                <w:b w:val="0"/>
                <w:bCs w:val="0"/>
                <w:sz w:val="24"/>
                <w:szCs w:val="24"/>
                <w:u w:val="none"/>
                <w:lang w:eastAsia="zh-CN"/>
              </w:rPr>
              <w:t>采用袋式除尘器处理，</w:t>
            </w:r>
            <w:r>
              <w:rPr>
                <w:rFonts w:hint="default" w:ascii="Times New Roman" w:hAnsi="Times New Roman" w:eastAsia="宋体" w:cs="Times New Roman"/>
                <w:b w:val="0"/>
                <w:bCs w:val="0"/>
                <w:sz w:val="24"/>
                <w:szCs w:val="24"/>
                <w:u w:val="none"/>
              </w:rPr>
              <w:t>袋式除尘器是一种干式滤尘装置。它适用于捕集细小、干燥、非纤维性</w:t>
            </w:r>
            <w:r>
              <w:rPr>
                <w:rFonts w:hint="default" w:ascii="Times New Roman" w:hAnsi="Times New Roman" w:eastAsia="宋体" w:cs="Times New Roman"/>
                <w:b w:val="0"/>
                <w:bCs w:val="0"/>
                <w:sz w:val="24"/>
                <w:szCs w:val="24"/>
                <w:u w:val="none"/>
              </w:rPr>
              <w:fldChar w:fldCharType="begin"/>
            </w:r>
            <w:r>
              <w:rPr>
                <w:rFonts w:hint="default" w:ascii="Times New Roman" w:hAnsi="Times New Roman" w:eastAsia="宋体" w:cs="Times New Roman"/>
                <w:b w:val="0"/>
                <w:bCs w:val="0"/>
                <w:sz w:val="24"/>
                <w:szCs w:val="24"/>
                <w:u w:val="none"/>
              </w:rPr>
              <w:instrText xml:space="preserve"> HYPERLINK "http://baike.so.com/doc/662388-701218.html" </w:instrText>
            </w:r>
            <w:r>
              <w:rPr>
                <w:rFonts w:hint="default" w:ascii="Times New Roman" w:hAnsi="Times New Roman" w:eastAsia="宋体" w:cs="Times New Roman"/>
                <w:b w:val="0"/>
                <w:bCs w:val="0"/>
                <w:sz w:val="24"/>
                <w:szCs w:val="24"/>
                <w:u w:val="none"/>
              </w:rPr>
              <w:fldChar w:fldCharType="separate"/>
            </w:r>
            <w:r>
              <w:rPr>
                <w:rFonts w:hint="default" w:ascii="Times New Roman" w:hAnsi="Times New Roman" w:eastAsia="宋体" w:cs="Times New Roman"/>
                <w:b w:val="0"/>
                <w:bCs w:val="0"/>
                <w:sz w:val="24"/>
                <w:szCs w:val="24"/>
                <w:u w:val="none"/>
              </w:rPr>
              <w:t>粉尘</w:t>
            </w:r>
            <w:r>
              <w:rPr>
                <w:rFonts w:hint="default" w:ascii="Times New Roman" w:hAnsi="Times New Roman" w:eastAsia="宋体" w:cs="Times New Roman"/>
                <w:b w:val="0"/>
                <w:bCs w:val="0"/>
                <w:sz w:val="24"/>
                <w:szCs w:val="24"/>
                <w:u w:val="none"/>
              </w:rPr>
              <w:fldChar w:fldCharType="end"/>
            </w:r>
            <w:r>
              <w:rPr>
                <w:rFonts w:hint="default" w:ascii="Times New Roman" w:hAnsi="Times New Roman" w:eastAsia="宋体" w:cs="Times New Roman"/>
                <w:b w:val="0"/>
                <w:bCs w:val="0"/>
                <w:sz w:val="24"/>
                <w:szCs w:val="24"/>
                <w:u w:val="none"/>
              </w:rPr>
              <w:t>。滤袋采用纺织的滤布或</w:t>
            </w:r>
            <w:r>
              <w:rPr>
                <w:rFonts w:hint="default" w:ascii="Times New Roman" w:hAnsi="Times New Roman" w:eastAsia="宋体" w:cs="Times New Roman"/>
                <w:b w:val="0"/>
                <w:bCs w:val="0"/>
                <w:sz w:val="24"/>
                <w:szCs w:val="24"/>
                <w:u w:val="none"/>
                <w:lang w:eastAsia="zh-CN"/>
              </w:rPr>
              <w:t>非</w:t>
            </w:r>
            <w:r>
              <w:rPr>
                <w:rFonts w:hint="default" w:ascii="Times New Roman" w:hAnsi="Times New Roman" w:eastAsia="宋体" w:cs="Times New Roman"/>
                <w:b w:val="0"/>
                <w:bCs w:val="0"/>
                <w:sz w:val="24"/>
                <w:szCs w:val="24"/>
                <w:u w:val="none"/>
              </w:rPr>
              <w:t>纺织的毡制成，利用纤维织物的过滤作用对含尘气体进行过滤，当含尘气体进入袋式除尘器后，颗粒大、比重大的粉尘，由于重力的作用沉降下来，落入灰斗，含有较细小粉尘的气体在通过滤料时，粉尘被阻留，使气体得到净化，它的除尘效率可高达99%。</w:t>
            </w:r>
            <w:r>
              <w:rPr>
                <w:rFonts w:hint="eastAsia" w:ascii="Times New Roman" w:hAnsi="Times New Roman" w:eastAsia="宋体" w:cs="Times New Roman"/>
                <w:b w:val="0"/>
                <w:bCs w:val="0"/>
                <w:sz w:val="24"/>
                <w:szCs w:val="24"/>
                <w:u w:val="none"/>
                <w:lang w:eastAsia="zh-CN"/>
              </w:rPr>
              <w:t>采取以上措施后，经预测对周围环境空气影响较小。综上所述，</w:t>
            </w:r>
            <w:r>
              <w:rPr>
                <w:rFonts w:hint="default" w:ascii="Times New Roman" w:hAnsi="Times New Roman" w:eastAsia="宋体" w:cs="Times New Roman"/>
                <w:b w:val="0"/>
                <w:bCs w:val="0"/>
                <w:sz w:val="24"/>
                <w:szCs w:val="24"/>
                <w:u w:val="none"/>
              </w:rPr>
              <w:t>本项目采取的措施可行，可以</w:t>
            </w:r>
            <w:r>
              <w:rPr>
                <w:rFonts w:hint="default" w:ascii="Times New Roman" w:hAnsi="Times New Roman" w:eastAsia="宋体" w:cs="Times New Roman"/>
                <w:b w:val="0"/>
                <w:bCs w:val="0"/>
                <w:sz w:val="24"/>
                <w:szCs w:val="24"/>
                <w:u w:val="none"/>
                <w:lang w:eastAsia="zh-CN"/>
              </w:rPr>
              <w:t>实现</w:t>
            </w:r>
            <w:r>
              <w:rPr>
                <w:rFonts w:hint="default" w:ascii="Times New Roman" w:hAnsi="Times New Roman" w:eastAsia="宋体" w:cs="Times New Roman"/>
                <w:b w:val="0"/>
                <w:bCs w:val="0"/>
                <w:sz w:val="24"/>
                <w:szCs w:val="24"/>
                <w:u w:val="none"/>
              </w:rPr>
              <w:t>达标排放。</w:t>
            </w:r>
          </w:p>
          <w:p>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default" w:ascii="Times New Roman" w:hAnsi="Times New Roman" w:eastAsia="宋体" w:cs="Times New Roman"/>
                <w:b/>
                <w:bCs/>
                <w:sz w:val="24"/>
                <w:szCs w:val="24"/>
                <w:u w:val="single"/>
                <w:lang w:val="en-US" w:eastAsia="zh-CN"/>
              </w:rPr>
            </w:pPr>
            <w:r>
              <w:rPr>
                <w:rFonts w:hint="eastAsia" w:ascii="Times New Roman" w:hAnsi="Times New Roman" w:eastAsia="宋体" w:cs="Times New Roman"/>
                <w:b/>
                <w:bCs/>
                <w:sz w:val="24"/>
                <w:szCs w:val="24"/>
                <w:u w:val="single"/>
                <w:lang w:val="en-US" w:eastAsia="zh-CN"/>
              </w:rPr>
              <w:t>（4）</w:t>
            </w:r>
            <w:r>
              <w:rPr>
                <w:rFonts w:hint="default" w:ascii="Times New Roman" w:hAnsi="Times New Roman" w:eastAsia="宋体" w:cs="Times New Roman"/>
                <w:b/>
                <w:bCs/>
                <w:sz w:val="24"/>
                <w:szCs w:val="24"/>
                <w:u w:val="single"/>
                <w:lang w:val="en-US" w:eastAsia="zh-CN"/>
              </w:rPr>
              <w:t>燃油机械及运输车辆尾气防治措施分析</w:t>
            </w:r>
          </w:p>
          <w:p>
            <w:pPr>
              <w:keepNext w:val="0"/>
              <w:keepLines w:val="0"/>
              <w:pageBreakBefore w:val="0"/>
              <w:widowControl w:val="0"/>
              <w:kinsoku/>
              <w:wordWrap/>
              <w:overflowPunct/>
              <w:topLinePunct w:val="0"/>
              <w:autoSpaceDE/>
              <w:autoSpaceDN/>
              <w:bidi w:val="0"/>
              <w:spacing w:line="520" w:lineRule="exact"/>
              <w:ind w:firstLine="482" w:firstLineChars="200"/>
              <w:textAlignment w:val="auto"/>
              <w:rPr>
                <w:rFonts w:hint="default" w:ascii="Times New Roman" w:hAnsi="Times New Roman" w:eastAsia="宋体" w:cs="Times New Roman"/>
                <w:b/>
                <w:bCs/>
                <w:sz w:val="24"/>
                <w:szCs w:val="24"/>
                <w:u w:val="single"/>
                <w:lang w:val="en-US" w:eastAsia="zh-CN"/>
              </w:rPr>
            </w:pPr>
            <w:r>
              <w:rPr>
                <w:rFonts w:hint="default" w:ascii="Times New Roman" w:hAnsi="Times New Roman" w:eastAsia="宋体" w:cs="Times New Roman"/>
                <w:b/>
                <w:bCs/>
                <w:sz w:val="24"/>
                <w:szCs w:val="24"/>
                <w:u w:val="single"/>
                <w:lang w:val="en-US" w:eastAsia="zh-CN"/>
              </w:rPr>
              <w:t>评价建议对运输车辆加强管理，车辆履行申报登记、张贴环保标识、核发号牌等环保手续，车辆尾气达标排放，无排黑烟情况，按照相关管理要求，加强车辆日常维护，完善机动车排放检测制度，机动车检测达标后方可使用，建立工程作业机械入场前报备、使用中监督抽测、超标后处罚撤场的闭环管理制度，并按照要求，使用国六标准车用柴油，车辆安装远程排放监控设备和定位系统，并与生态环境部门联网</w:t>
            </w:r>
            <w:r>
              <w:rPr>
                <w:rFonts w:hint="eastAsia" w:ascii="Times New Roman" w:hAnsi="Times New Roman" w:eastAsia="宋体" w:cs="Times New Roman"/>
                <w:b/>
                <w:bCs/>
                <w:sz w:val="24"/>
                <w:szCs w:val="24"/>
                <w:u w:val="single"/>
                <w:lang w:val="en-US" w:eastAsia="zh-CN"/>
              </w:rPr>
              <w:t>。</w:t>
            </w:r>
            <w:r>
              <w:rPr>
                <w:rFonts w:hint="default" w:ascii="Times New Roman" w:hAnsi="Times New Roman" w:eastAsia="宋体" w:cs="Times New Roman"/>
                <w:b/>
                <w:bCs/>
                <w:sz w:val="24"/>
                <w:szCs w:val="24"/>
                <w:u w:val="single"/>
                <w:lang w:val="en-US" w:eastAsia="zh-CN"/>
              </w:rPr>
              <w:t>采取上述管理措施后，可有效降低车辆燃油废气产生的影响，评价认为防治措施可行。</w:t>
            </w:r>
          </w:p>
          <w:p>
            <w:pPr>
              <w:spacing w:line="520" w:lineRule="exact"/>
              <w:ind w:firstLine="480" w:firstLineChars="200"/>
              <w:rPr>
                <w:rFonts w:eastAsia="黑体"/>
                <w:sz w:val="24"/>
              </w:rPr>
            </w:pPr>
            <w:r>
              <w:rPr>
                <w:rFonts w:eastAsia="黑体"/>
                <w:sz w:val="24"/>
              </w:rPr>
              <w:t>二、水环境影响分析</w:t>
            </w:r>
          </w:p>
          <w:p>
            <w:pPr>
              <w:spacing w:line="520" w:lineRule="exact"/>
              <w:ind w:firstLine="465"/>
              <w:rPr>
                <w:sz w:val="24"/>
              </w:rPr>
            </w:pPr>
            <w:r>
              <w:rPr>
                <w:rFonts w:hint="eastAsia"/>
                <w:sz w:val="24"/>
                <w:lang w:val="en-US" w:eastAsia="zh-CN"/>
              </w:rPr>
              <w:t>2.1</w:t>
            </w:r>
            <w:r>
              <w:rPr>
                <w:sz w:val="24"/>
              </w:rPr>
              <w:t>地表水环境影响分析</w:t>
            </w:r>
          </w:p>
          <w:p>
            <w:pPr>
              <w:pStyle w:val="48"/>
              <w:snapToGrid w:val="0"/>
              <w:spacing w:line="520" w:lineRule="exact"/>
              <w:ind w:firstLine="480" w:firstLineChars="200"/>
            </w:pPr>
            <w:r>
              <w:t>根据工程分析，</w:t>
            </w:r>
            <w:r>
              <w:rPr>
                <w:snapToGrid w:val="0"/>
              </w:rPr>
              <w:t>本项目营运</w:t>
            </w:r>
            <w:r>
              <w:rPr>
                <w:rFonts w:hint="eastAsia"/>
                <w:snapToGrid w:val="0"/>
                <w:lang w:eastAsia="zh-CN"/>
              </w:rPr>
              <w:t>过程中</w:t>
            </w:r>
            <w:r>
              <w:t>配料用水</w:t>
            </w:r>
            <w:r>
              <w:rPr>
                <w:bCs/>
                <w:color w:val="auto"/>
                <w:sz w:val="24"/>
              </w:rPr>
              <w:t>全部进入产品，无废水产生</w:t>
            </w:r>
            <w:r>
              <w:rPr>
                <w:rFonts w:hint="eastAsia"/>
                <w:lang w:eastAsia="zh-CN"/>
              </w:rPr>
              <w:t>；</w:t>
            </w:r>
            <w:r>
              <w:t>产品养护用水，</w:t>
            </w:r>
            <w:r>
              <w:rPr>
                <w:sz w:val="24"/>
              </w:rPr>
              <w:t>大部分蒸发，少部分进入产品，无废水产生</w:t>
            </w:r>
            <w:r>
              <w:rPr>
                <w:rFonts w:hint="eastAsia"/>
                <w:sz w:val="24"/>
                <w:lang w:eastAsia="zh-CN"/>
              </w:rPr>
              <w:t>；</w:t>
            </w:r>
            <w:r>
              <w:t>原料抑尘用水</w:t>
            </w:r>
            <w:r>
              <w:rPr>
                <w:rFonts w:hint="eastAsia"/>
                <w:lang w:eastAsia="zh-CN"/>
              </w:rPr>
              <w:t>进入产品</w:t>
            </w:r>
            <w:r>
              <w:t>及道路洒水抑尘用水</w:t>
            </w:r>
            <w:r>
              <w:rPr>
                <w:rFonts w:hint="eastAsia" w:ascii="Times New Roman" w:hAnsi="Times New Roman" w:eastAsia="宋体" w:cs="Times New Roman"/>
                <w:bCs/>
                <w:iCs/>
                <w:sz w:val="24"/>
                <w:szCs w:val="24"/>
                <w:lang w:val="en-US" w:eastAsia="zh-CN"/>
              </w:rPr>
              <w:t>全部蒸发，无废水外排</w:t>
            </w:r>
            <w:r>
              <w:rPr>
                <w:rFonts w:hint="eastAsia"/>
                <w:lang w:eastAsia="zh-CN"/>
              </w:rPr>
              <w:t>；故项目</w:t>
            </w:r>
            <w:r>
              <w:t>主要废水为场地、设备冲洗废水，车辆冲洗废水和职工生活污水。</w:t>
            </w:r>
          </w:p>
          <w:p>
            <w:pPr>
              <w:pStyle w:val="48"/>
              <w:snapToGrid w:val="0"/>
              <w:spacing w:line="520" w:lineRule="exact"/>
              <w:ind w:firstLine="480" w:firstLineChars="200"/>
            </w:pPr>
            <w:r>
              <w:rPr>
                <w:rFonts w:hint="eastAsia"/>
                <w:lang w:eastAsia="zh-CN"/>
              </w:rPr>
              <w:t>（</w:t>
            </w:r>
            <w:r>
              <w:t>1</w:t>
            </w:r>
            <w:r>
              <w:rPr>
                <w:rFonts w:hint="eastAsia"/>
                <w:lang w:eastAsia="zh-CN"/>
              </w:rPr>
              <w:t>）</w:t>
            </w:r>
            <w:r>
              <w:t>场地、设备冲洗废水</w:t>
            </w:r>
          </w:p>
          <w:p>
            <w:pPr>
              <w:pStyle w:val="48"/>
              <w:snapToGrid w:val="0"/>
              <w:spacing w:line="520" w:lineRule="exact"/>
              <w:ind w:firstLine="480" w:firstLineChars="200"/>
            </w:pPr>
            <w:r>
              <w:rPr>
                <w:snapToGrid w:val="0"/>
              </w:rPr>
              <w:t>本项目运营后</w:t>
            </w:r>
            <w:r>
              <w:t>场地、设备冲洗废水产生量约为</w:t>
            </w:r>
            <w:r>
              <w:rPr>
                <w:rFonts w:hint="eastAsia"/>
                <w:sz w:val="24"/>
                <w:lang w:val="en-US" w:eastAsia="zh-CN"/>
              </w:rPr>
              <w:t>1.8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540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r>
              <w:t>，主要污染物为SS。评价要求企业在生产车间内设置1座沉淀池，沉淀池容积为</w:t>
            </w:r>
            <w:r>
              <w:rPr>
                <w:rFonts w:hint="eastAsia"/>
                <w:lang w:val="en-US" w:eastAsia="zh-CN"/>
              </w:rPr>
              <w:t>4</w:t>
            </w:r>
            <w:r>
              <w:t>m</w:t>
            </w:r>
            <w:r>
              <w:rPr>
                <w:vertAlign w:val="superscript"/>
              </w:rPr>
              <w:t>3</w:t>
            </w:r>
            <w:r>
              <w:t>，场地、设备冲洗废水收集后进入配套沉淀池，经沉淀后作为工艺用水回用于生产，综合利用，不外排。</w:t>
            </w:r>
          </w:p>
          <w:p>
            <w:pPr>
              <w:spacing w:line="520" w:lineRule="exact"/>
              <w:ind w:firstLine="482"/>
              <w:rPr>
                <w:sz w:val="24"/>
              </w:rPr>
            </w:pPr>
            <w:r>
              <w:rPr>
                <w:rFonts w:hint="eastAsia"/>
                <w:sz w:val="24"/>
                <w:lang w:eastAsia="zh-CN"/>
              </w:rPr>
              <w:t>（</w:t>
            </w:r>
            <w:r>
              <w:rPr>
                <w:rFonts w:hint="eastAsia"/>
                <w:sz w:val="24"/>
                <w:lang w:val="en-US" w:eastAsia="zh-CN"/>
              </w:rPr>
              <w:t>2</w:t>
            </w:r>
            <w:r>
              <w:rPr>
                <w:rFonts w:hint="eastAsia"/>
                <w:sz w:val="24"/>
                <w:lang w:eastAsia="zh-CN"/>
              </w:rPr>
              <w:t>）</w:t>
            </w:r>
            <w:r>
              <w:rPr>
                <w:sz w:val="24"/>
              </w:rPr>
              <w:t>车辆冲洗水</w:t>
            </w:r>
          </w:p>
          <w:p>
            <w:pPr>
              <w:spacing w:line="520" w:lineRule="exact"/>
              <w:ind w:firstLine="480" w:firstLineChars="200"/>
              <w:outlineLvl w:val="0"/>
              <w:rPr>
                <w:bCs/>
                <w:sz w:val="24"/>
              </w:rPr>
            </w:pPr>
            <w:r>
              <w:rPr>
                <w:sz w:val="24"/>
              </w:rPr>
              <w:t>本项目在厂区进出口设置有车辆自动冲洗装置，冲洗水用量为</w:t>
            </w:r>
            <w:r>
              <w:rPr>
                <w:rFonts w:hint="eastAsia"/>
                <w:sz w:val="24"/>
                <w:lang w:val="en-US" w:eastAsia="zh-CN"/>
              </w:rPr>
              <w:t>1.2</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360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/a，冲洗废水产生量为</w:t>
            </w:r>
            <w:r>
              <w:rPr>
                <w:rFonts w:hint="eastAsia"/>
                <w:sz w:val="24"/>
                <w:lang w:val="en-US" w:eastAsia="zh-CN"/>
              </w:rPr>
              <w:t>0.96</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288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/a，主要污染物为SS。</w:t>
            </w:r>
            <w:r>
              <w:rPr>
                <w:bCs/>
                <w:sz w:val="24"/>
              </w:rPr>
              <w:t>评价要求企业在厂区进出口设置沉淀池1座，容积为</w:t>
            </w:r>
            <w:r>
              <w:rPr>
                <w:rFonts w:hint="eastAsia"/>
                <w:bCs/>
                <w:sz w:val="24"/>
                <w:lang w:val="en-US" w:eastAsia="zh-CN"/>
              </w:rPr>
              <w:t>3</w:t>
            </w:r>
            <w:r>
              <w:rPr>
                <w:bCs/>
                <w:sz w:val="24"/>
              </w:rPr>
              <w:t>m</w:t>
            </w:r>
            <w:r>
              <w:rPr>
                <w:bCs/>
                <w:sz w:val="24"/>
                <w:vertAlign w:val="superscript"/>
              </w:rPr>
              <w:t>3</w:t>
            </w:r>
            <w:r>
              <w:rPr>
                <w:bCs/>
                <w:sz w:val="24"/>
              </w:rPr>
              <w:t>，车辆冲洗水经沉淀池沉淀后回用于车辆冲洗，综合利用，不外排。</w:t>
            </w:r>
          </w:p>
          <w:p>
            <w:pPr>
              <w:spacing w:line="520" w:lineRule="exact"/>
              <w:ind w:firstLine="480" w:firstLineChars="200"/>
              <w:outlineLvl w:val="0"/>
              <w:rPr>
                <w:sz w:val="24"/>
              </w:rPr>
            </w:pPr>
            <w:r>
              <w:rPr>
                <w:rFonts w:hint="eastAsia"/>
                <w:sz w:val="24"/>
                <w:lang w:eastAsia="zh-CN"/>
              </w:rPr>
              <w:t>（</w:t>
            </w:r>
            <w:r>
              <w:rPr>
                <w:rFonts w:hint="eastAsia"/>
                <w:sz w:val="24"/>
                <w:lang w:val="en-US" w:eastAsia="zh-CN"/>
              </w:rPr>
              <w:t>3</w:t>
            </w:r>
            <w:r>
              <w:rPr>
                <w:rFonts w:hint="eastAsia"/>
                <w:sz w:val="24"/>
                <w:lang w:eastAsia="zh-CN"/>
              </w:rPr>
              <w:t>）</w:t>
            </w:r>
            <w:r>
              <w:rPr>
                <w:sz w:val="24"/>
              </w:rPr>
              <w:t>生活污水</w:t>
            </w:r>
          </w:p>
          <w:p>
            <w:pPr>
              <w:pStyle w:val="58"/>
              <w:ind w:firstLine="480"/>
              <w:rPr>
                <w:rFonts w:ascii="Times New Roman" w:hAnsi="Times New Roman" w:cs="Times New Roman"/>
              </w:rPr>
            </w:pPr>
            <w:r>
              <w:rPr>
                <w:rFonts w:ascii="Times New Roman" w:hAnsi="Times New Roman" w:cs="Times New Roman"/>
              </w:rPr>
              <w:t>本项目营运后生活用水量为</w:t>
            </w:r>
            <w:r>
              <w:rPr>
                <w:rFonts w:hint="eastAsia" w:ascii="Times New Roman" w:hAnsi="Times New Roman" w:cs="Times New Roman"/>
                <w:lang w:val="en-US" w:eastAsia="zh-CN"/>
              </w:rPr>
              <w:t>0.46</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lang w:val="en-US" w:eastAsia="zh-CN"/>
              </w:rPr>
              <w:t>138</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/a，生活污水产生量</w:t>
            </w:r>
            <w:r>
              <w:rPr>
                <w:rFonts w:hint="eastAsia" w:ascii="Times New Roman" w:hAnsi="Times New Roman" w:cs="Times New Roman"/>
                <w:lang w:val="en-US" w:eastAsia="zh-CN"/>
              </w:rPr>
              <w:t>0.368</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lang w:val="en-US" w:eastAsia="zh-CN"/>
              </w:rPr>
              <w:t>110.4</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/a。由于项目所在地现无配套污水管网，且项目生活污水产生量较小，且水质较为简单，无特殊污染因子，生活污水经</w:t>
            </w:r>
            <w:r>
              <w:rPr>
                <w:rFonts w:hint="eastAsia" w:ascii="Times New Roman" w:hAnsi="Times New Roman" w:cs="Times New Roman"/>
                <w:lang w:eastAsia="zh-CN"/>
              </w:rPr>
              <w:t>厂区原有</w:t>
            </w:r>
            <w:r>
              <w:rPr>
                <w:rFonts w:ascii="Times New Roman" w:hAnsi="Times New Roman" w:cs="Times New Roman"/>
              </w:rPr>
              <w:t>化粪池</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16</w:t>
            </w:r>
            <w:r>
              <w:rPr>
                <w:rFonts w:ascii="Times New Roman" w:hAnsi="Times New Roman" w:cs="Times New Roman"/>
                <w:color w:val="auto"/>
              </w:rPr>
              <w:t>m</w:t>
            </w:r>
            <w:r>
              <w:rPr>
                <w:rFonts w:ascii="Times New Roman" w:hAnsi="Times New Roman" w:cs="Times New Roman"/>
                <w:color w:val="auto"/>
                <w:vertAlign w:val="superscript"/>
              </w:rPr>
              <w:t>3</w:t>
            </w:r>
            <w:r>
              <w:rPr>
                <w:rFonts w:hint="eastAsia" w:ascii="Times New Roman" w:hAnsi="Times New Roman" w:cs="Times New Roman"/>
                <w:lang w:eastAsia="zh-CN"/>
              </w:rPr>
              <w:t>）</w:t>
            </w:r>
            <w:r>
              <w:rPr>
                <w:rFonts w:ascii="Times New Roman" w:hAnsi="Times New Roman" w:cs="Times New Roman"/>
              </w:rPr>
              <w:t>处理后定期清理</w:t>
            </w:r>
            <w:r>
              <w:rPr>
                <w:rFonts w:hint="eastAsia" w:ascii="Times New Roman" w:hAnsi="Times New Roman" w:cs="Times New Roman"/>
                <w:lang w:eastAsia="zh-CN"/>
              </w:rPr>
              <w:t>可</w:t>
            </w:r>
            <w:r>
              <w:rPr>
                <w:rFonts w:ascii="Times New Roman" w:hAnsi="Times New Roman" w:cs="Times New Roman"/>
              </w:rPr>
              <w:t>用于周边农田施肥，综合利用，不外排。</w:t>
            </w:r>
          </w:p>
          <w:p>
            <w:pPr>
              <w:pStyle w:val="91"/>
              <w:spacing w:line="500" w:lineRule="atLeas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）影响分析</w:t>
            </w:r>
          </w:p>
          <w:p>
            <w:pPr>
              <w:pStyle w:val="48"/>
              <w:snapToGrid w:val="0"/>
              <w:spacing w:line="52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本项目营运</w:t>
            </w:r>
            <w:r>
              <w:rPr>
                <w:rFonts w:hint="eastAsia" w:ascii="Times New Roman" w:hAnsi="Times New Roman" w:eastAsia="宋体" w:cs="Times New Roman"/>
                <w:sz w:val="24"/>
                <w:szCs w:val="24"/>
                <w:lang w:eastAsia="zh-CN"/>
              </w:rPr>
              <w:t>过程中</w:t>
            </w:r>
            <w:r>
              <w:rPr>
                <w:rFonts w:hint="default" w:ascii="Times New Roman" w:hAnsi="Times New Roman" w:eastAsia="宋体" w:cs="Times New Roman"/>
                <w:sz w:val="24"/>
                <w:szCs w:val="24"/>
              </w:rPr>
              <w:t>配料用水全部进入产品，无废水产生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产品养护用水，大部分蒸发，少部分进入产品，无废水产生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原料抑尘用水</w:t>
            </w:r>
            <w:r>
              <w:rPr>
                <w:rFonts w:hint="eastAsia" w:ascii="Times New Roman" w:hAnsi="Times New Roman" w:eastAsia="宋体" w:cs="Times New Roman"/>
                <w:sz w:val="24"/>
                <w:szCs w:val="24"/>
                <w:lang w:eastAsia="zh-CN"/>
              </w:rPr>
              <w:t>进入产品</w:t>
            </w:r>
            <w:r>
              <w:rPr>
                <w:rFonts w:hint="default" w:ascii="Times New Roman" w:hAnsi="Times New Roman" w:eastAsia="宋体" w:cs="Times New Roman"/>
                <w:sz w:val="24"/>
                <w:szCs w:val="24"/>
              </w:rPr>
              <w:t>及道路洒水抑尘用水</w:t>
            </w:r>
            <w:r>
              <w:rPr>
                <w:rFonts w:hint="eastAsia" w:ascii="Times New Roman" w:hAnsi="Times New Roman" w:eastAsia="宋体" w:cs="Times New Roman"/>
                <w:sz w:val="24"/>
                <w:szCs w:val="24"/>
                <w:lang w:val="en-US" w:eastAsia="zh-CN"/>
              </w:rPr>
              <w:t>全部蒸发，无废水外排</w:t>
            </w:r>
            <w:r>
              <w:rPr>
                <w:rFonts w:hint="eastAsia" w:ascii="Times New Roman" w:hAnsi="Times New Roman" w:eastAsia="宋体" w:cs="Times New Roman"/>
                <w:sz w:val="24"/>
                <w:szCs w:val="24"/>
                <w:lang w:eastAsia="zh-CN"/>
              </w:rPr>
              <w:t>；</w:t>
            </w:r>
            <w:r>
              <w:t>场地、设备冲洗废水收集后经沉淀后作为工艺用水回用于生产，综合利用，不外排</w:t>
            </w:r>
            <w:r>
              <w:rPr>
                <w:rFonts w:hint="eastAsia"/>
                <w:lang w:eastAsia="zh-CN"/>
              </w:rPr>
              <w:t>；</w:t>
            </w:r>
            <w:r>
              <w:rPr>
                <w:rFonts w:hint="default" w:ascii="Times New Roman" w:hAnsi="Times New Roman" w:eastAsia="宋体" w:cs="Times New Roman"/>
                <w:sz w:val="24"/>
                <w:szCs w:val="24"/>
              </w:rPr>
              <w:t>车辆</w:t>
            </w:r>
            <w:r>
              <w:rPr>
                <w:rFonts w:hint="eastAsia" w:ascii="Times New Roman" w:hAnsi="Times New Roman" w:eastAsia="宋体" w:cs="Times New Roman"/>
                <w:sz w:val="24"/>
                <w:szCs w:val="24"/>
                <w:lang w:eastAsia="zh-CN"/>
              </w:rPr>
              <w:t>冲洗</w:t>
            </w:r>
            <w:r>
              <w:rPr>
                <w:rFonts w:hint="default" w:ascii="Times New Roman" w:hAnsi="Times New Roman" w:eastAsia="宋体" w:cs="Times New Roman"/>
                <w:sz w:val="24"/>
                <w:szCs w:val="24"/>
              </w:rPr>
              <w:t>废水经沉淀池沉淀后循环使用，不外排；</w:t>
            </w:r>
            <w:r>
              <w:rPr>
                <w:rFonts w:hint="default" w:ascii="Times New Roman" w:hAnsi="Times New Roman" w:eastAsia="宋体" w:cs="Times New Roman"/>
                <w:sz w:val="24"/>
                <w:szCs w:val="24"/>
                <w:lang w:eastAsia="zh-CN"/>
              </w:rPr>
              <w:t>生活污水经化粪池处理后用作农肥，不外排。</w:t>
            </w:r>
            <w:r>
              <w:rPr>
                <w:rFonts w:hint="default" w:ascii="Times New Roman" w:hAnsi="Times New Roman" w:eastAsia="宋体" w:cs="Times New Roman"/>
                <w:sz w:val="24"/>
                <w:szCs w:val="24"/>
              </w:rPr>
              <w:t>根据《</w:t>
            </w:r>
            <w:r>
              <w:rPr>
                <w:rFonts w:hint="default" w:ascii="Times New Roman" w:hAnsi="Times New Roman" w:eastAsia="宋体" w:cs="Times New Roman"/>
                <w:sz w:val="24"/>
                <w:szCs w:val="24"/>
                <w:lang w:eastAsia="ja-JP"/>
              </w:rPr>
              <w:t>环境影响评价技术导则地面水环境</w:t>
            </w:r>
            <w:r>
              <w:rPr>
                <w:rFonts w:hint="default" w:ascii="Times New Roman" w:hAnsi="Times New Roman" w:eastAsia="宋体" w:cs="Times New Roman"/>
                <w:sz w:val="24"/>
                <w:szCs w:val="24"/>
              </w:rPr>
              <w:t>》（HJ/T2.3-2018），</w:t>
            </w:r>
            <w:r>
              <w:rPr>
                <w:rFonts w:hint="default" w:ascii="Times New Roman" w:hAnsi="Times New Roman" w:eastAsia="宋体" w:cs="Times New Roman"/>
                <w:sz w:val="24"/>
                <w:szCs w:val="24"/>
                <w:lang w:eastAsia="zh-CN"/>
              </w:rPr>
              <w:t>本项目</w:t>
            </w:r>
            <w:r>
              <w:rPr>
                <w:rFonts w:hint="default" w:ascii="Times New Roman" w:hAnsi="Times New Roman" w:eastAsia="宋体" w:cs="Times New Roman"/>
                <w:sz w:val="24"/>
                <w:szCs w:val="24"/>
              </w:rPr>
              <w:t>评价等级为三级B，因此本项目地表水评价内容仅包括水污染控制和水环境影响减缓措施有效性评价以及依托污水处理设施的环境可行性评价。</w:t>
            </w:r>
          </w:p>
          <w:p>
            <w:pPr>
              <w:pStyle w:val="91"/>
              <w:spacing w:line="500" w:lineRule="atLeas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具体分析如下：</w:t>
            </w:r>
          </w:p>
          <w:p>
            <w:pPr>
              <w:pStyle w:val="91"/>
              <w:spacing w:line="500" w:lineRule="atLeas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1）水污染控制和水环境影响减缓措施有效性评价</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污染控制措施及各类排放口排放浓度限值等应满足国家和地方相关排放标准及符合有关标准规定的排水协议关于水污染物排放的条款要求；</w:t>
            </w:r>
          </w:p>
          <w:p>
            <w:pPr>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本项目营运</w:t>
            </w:r>
            <w:r>
              <w:rPr>
                <w:rFonts w:hint="eastAsia" w:ascii="Times New Roman" w:hAnsi="Times New Roman" w:eastAsia="宋体" w:cs="Times New Roman"/>
                <w:sz w:val="24"/>
                <w:szCs w:val="24"/>
                <w:lang w:eastAsia="zh-CN"/>
              </w:rPr>
              <w:t>过程中</w:t>
            </w:r>
            <w:r>
              <w:rPr>
                <w:rFonts w:hint="default" w:ascii="Times New Roman" w:hAnsi="Times New Roman" w:eastAsia="宋体" w:cs="Times New Roman"/>
                <w:sz w:val="24"/>
                <w:szCs w:val="24"/>
              </w:rPr>
              <w:t>配料用水全部进入产品，无废水产生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产品养护用水，大部分蒸发，少部分进入产品，无废水产生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原料抑尘用水</w:t>
            </w:r>
            <w:r>
              <w:rPr>
                <w:rFonts w:hint="eastAsia" w:ascii="Times New Roman" w:hAnsi="Times New Roman" w:eastAsia="宋体" w:cs="Times New Roman"/>
                <w:sz w:val="24"/>
                <w:szCs w:val="24"/>
                <w:lang w:eastAsia="zh-CN"/>
              </w:rPr>
              <w:t>进入产品</w:t>
            </w:r>
            <w:r>
              <w:rPr>
                <w:rFonts w:hint="default" w:ascii="Times New Roman" w:hAnsi="Times New Roman" w:eastAsia="宋体" w:cs="Times New Roman"/>
                <w:sz w:val="24"/>
                <w:szCs w:val="24"/>
              </w:rPr>
              <w:t>及道路洒水抑尘用水</w:t>
            </w:r>
            <w:r>
              <w:rPr>
                <w:rFonts w:hint="eastAsia" w:ascii="Times New Roman" w:hAnsi="Times New Roman" w:eastAsia="宋体" w:cs="Times New Roman"/>
                <w:sz w:val="24"/>
                <w:szCs w:val="24"/>
                <w:lang w:val="en-US" w:eastAsia="zh-CN"/>
              </w:rPr>
              <w:t>全部蒸发，无废水外排</w:t>
            </w:r>
            <w:r>
              <w:rPr>
                <w:rFonts w:hint="eastAsia" w:ascii="Times New Roman" w:hAnsi="Times New Roman" w:eastAsia="宋体" w:cs="Times New Roman"/>
                <w:sz w:val="24"/>
                <w:szCs w:val="24"/>
                <w:lang w:eastAsia="zh-CN"/>
              </w:rPr>
              <w:t>；</w:t>
            </w:r>
            <w:r>
              <w:rPr>
                <w:sz w:val="24"/>
                <w:szCs w:val="24"/>
              </w:rPr>
              <w:t>场地、设备冲洗废水收集后经沉淀后作为工艺用水回用于生产，综合利用，不外排</w:t>
            </w:r>
            <w:r>
              <w:rPr>
                <w:rFonts w:hint="eastAsia"/>
                <w:sz w:val="24"/>
                <w:szCs w:val="24"/>
                <w:lang w:eastAsia="zh-CN"/>
              </w:rPr>
              <w:t>；</w:t>
            </w:r>
            <w:r>
              <w:rPr>
                <w:rFonts w:hint="default" w:ascii="Times New Roman" w:hAnsi="Times New Roman" w:eastAsia="宋体" w:cs="Times New Roman"/>
                <w:sz w:val="24"/>
                <w:szCs w:val="24"/>
              </w:rPr>
              <w:t>车辆</w:t>
            </w:r>
            <w:r>
              <w:rPr>
                <w:rFonts w:hint="eastAsia" w:ascii="Times New Roman" w:hAnsi="Times New Roman" w:eastAsia="宋体" w:cs="Times New Roman"/>
                <w:sz w:val="24"/>
                <w:szCs w:val="24"/>
                <w:lang w:eastAsia="zh-CN"/>
              </w:rPr>
              <w:t>冲洗</w:t>
            </w:r>
            <w:r>
              <w:rPr>
                <w:rFonts w:hint="default" w:ascii="Times New Roman" w:hAnsi="Times New Roman" w:eastAsia="宋体" w:cs="Times New Roman"/>
                <w:sz w:val="24"/>
                <w:szCs w:val="24"/>
              </w:rPr>
              <w:t>废水经沉淀池沉淀后循环使用，不外排；</w:t>
            </w:r>
            <w:r>
              <w:rPr>
                <w:rFonts w:hint="default" w:ascii="Times New Roman" w:hAnsi="Times New Roman" w:eastAsia="宋体" w:cs="Times New Roman"/>
                <w:sz w:val="24"/>
                <w:szCs w:val="24"/>
                <w:lang w:eastAsia="zh-CN"/>
              </w:rPr>
              <w:t>生活污水经化粪池处理后用作农肥，不外排。</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 水动力影响、生态流量、水温影响减缓措施应满足水环境保护目标的要求；</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本项目废水不外排，</w:t>
            </w:r>
            <w:r>
              <w:rPr>
                <w:rFonts w:hint="default" w:ascii="Times New Roman" w:hAnsi="Times New Roman" w:eastAsia="宋体" w:cs="Times New Roman"/>
                <w:sz w:val="24"/>
                <w:szCs w:val="24"/>
              </w:rPr>
              <w:t>不涉及水环境保护目标。</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 涉及面源污染的，应满足国家和地方有关面源污染控制治理要求；</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本项目</w:t>
            </w:r>
            <w:r>
              <w:rPr>
                <w:rFonts w:hint="default" w:ascii="Times New Roman" w:hAnsi="Times New Roman" w:eastAsia="宋体" w:cs="Times New Roman"/>
                <w:sz w:val="24"/>
                <w:szCs w:val="24"/>
              </w:rPr>
              <w:t>不涉及面源排放情况。</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 受纳水体环境质量达标区的建设项目选择废水处理措施或多方案比选时，应满足行业污染防治可行技术指南要求，确保废水稳定达标排放且环境影响可以接受。</w:t>
            </w:r>
          </w:p>
          <w:p>
            <w:pPr>
              <w:pStyle w:val="91"/>
              <w:spacing w:line="500" w:lineRule="atLeas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本项目废水不外排。</w:t>
            </w:r>
          </w:p>
          <w:p>
            <w:pPr>
              <w:pStyle w:val="91"/>
              <w:spacing w:line="500" w:lineRule="atLeas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2）污水处理设施的环境可行性评价</w:t>
            </w:r>
          </w:p>
          <w:p>
            <w:pPr>
              <w:spacing w:line="50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本项目洗车</w:t>
            </w:r>
            <w:r>
              <w:rPr>
                <w:rFonts w:hint="default" w:ascii="Times New Roman" w:hAnsi="Times New Roman" w:eastAsia="宋体" w:cs="Times New Roman"/>
                <w:sz w:val="24"/>
                <w:szCs w:val="24"/>
                <w:lang w:val="en-US" w:eastAsia="zh-CN"/>
              </w:rPr>
              <w:t>废水产生量为</w:t>
            </w:r>
            <w:r>
              <w:rPr>
                <w:rFonts w:hint="eastAsia" w:cs="Times New Roman"/>
                <w:sz w:val="24"/>
                <w:szCs w:val="24"/>
                <w:lang w:val="en-US" w:eastAsia="zh-CN"/>
              </w:rPr>
              <w:t>0.96</w:t>
            </w:r>
            <w:r>
              <w:rPr>
                <w:rFonts w:hint="default" w:ascii="Times New Roman" w:hAnsi="Times New Roman" w:eastAsia="宋体" w:cs="Times New Roman"/>
                <w:sz w:val="24"/>
                <w:szCs w:val="24"/>
              </w:rPr>
              <w:t>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/d</w:t>
            </w:r>
            <w:r>
              <w:rPr>
                <w:rFonts w:hint="default" w:ascii="Times New Roman" w:hAnsi="Times New Roman" w:eastAsia="宋体" w:cs="Times New Roman"/>
                <w:sz w:val="24"/>
                <w:szCs w:val="24"/>
                <w:lang w:eastAsia="zh-CN"/>
              </w:rPr>
              <w:t>，</w:t>
            </w:r>
            <w:r>
              <w:rPr>
                <w:rFonts w:hint="eastAsia" w:cs="Times New Roman"/>
                <w:sz w:val="24"/>
                <w:szCs w:val="24"/>
                <w:lang w:eastAsia="zh-CN"/>
              </w:rPr>
              <w:t>配套建设洗车废水</w:t>
            </w:r>
            <w:r>
              <w:rPr>
                <w:rFonts w:hint="default" w:ascii="Times New Roman" w:hAnsi="Times New Roman" w:eastAsia="宋体" w:cs="Times New Roman"/>
                <w:sz w:val="24"/>
                <w:szCs w:val="24"/>
                <w:lang w:val="en-US" w:eastAsia="zh-CN"/>
              </w:rPr>
              <w:t>沉淀池一座</w:t>
            </w: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3</w:t>
            </w:r>
            <w:r>
              <w:rPr>
                <w:rFonts w:hint="default" w:ascii="Times New Roman" w:hAnsi="Times New Roman" w:eastAsia="宋体" w:cs="Times New Roman"/>
                <w:sz w:val="24"/>
                <w:szCs w:val="24"/>
                <w:lang w:val="en-US" w:eastAsia="zh-CN"/>
              </w:rPr>
              <w:t>m</w:t>
            </w:r>
            <w:r>
              <w:rPr>
                <w:rFonts w:hint="default" w:ascii="Times New Roman" w:hAnsi="Times New Roman" w:eastAsia="宋体" w:cs="Times New Roman"/>
                <w:sz w:val="24"/>
                <w:szCs w:val="24"/>
                <w:vertAlign w:val="superscript"/>
                <w:lang w:val="en-US" w:eastAsia="zh-CN"/>
              </w:rPr>
              <w:t>3</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，废水沉淀时间超过48小时，可满足废水沉淀处理需求。</w:t>
            </w:r>
          </w:p>
          <w:p>
            <w:pPr>
              <w:spacing w:line="50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本项目</w:t>
            </w:r>
            <w:r>
              <w:rPr>
                <w:sz w:val="24"/>
                <w:szCs w:val="24"/>
              </w:rPr>
              <w:t>场地、设备冲洗废水</w:t>
            </w:r>
            <w:r>
              <w:rPr>
                <w:rFonts w:hint="default" w:ascii="Times New Roman" w:hAnsi="Times New Roman" w:eastAsia="宋体" w:cs="Times New Roman"/>
                <w:sz w:val="24"/>
                <w:szCs w:val="24"/>
                <w:lang w:val="en-US" w:eastAsia="zh-CN"/>
              </w:rPr>
              <w:t>产生量为</w:t>
            </w:r>
            <w:r>
              <w:rPr>
                <w:rFonts w:hint="eastAsia" w:cs="Times New Roman"/>
                <w:sz w:val="24"/>
                <w:szCs w:val="24"/>
                <w:lang w:val="en-US" w:eastAsia="zh-CN"/>
              </w:rPr>
              <w:t>1.8</w:t>
            </w:r>
            <w:r>
              <w:rPr>
                <w:rFonts w:hint="default" w:ascii="Times New Roman" w:hAnsi="Times New Roman" w:eastAsia="宋体" w:cs="Times New Roman"/>
                <w:sz w:val="24"/>
                <w:szCs w:val="24"/>
              </w:rPr>
              <w:t>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/d</w:t>
            </w:r>
            <w:r>
              <w:rPr>
                <w:rFonts w:hint="default" w:ascii="Times New Roman" w:hAnsi="Times New Roman" w:eastAsia="宋体" w:cs="Times New Roman"/>
                <w:sz w:val="24"/>
                <w:szCs w:val="24"/>
                <w:lang w:eastAsia="zh-CN"/>
              </w:rPr>
              <w:t>，</w:t>
            </w:r>
            <w:r>
              <w:rPr>
                <w:rFonts w:hint="eastAsia" w:cs="Times New Roman"/>
                <w:sz w:val="24"/>
                <w:szCs w:val="24"/>
                <w:lang w:eastAsia="zh-CN"/>
              </w:rPr>
              <w:t>配套建设</w:t>
            </w:r>
            <w:r>
              <w:rPr>
                <w:rFonts w:hint="default" w:ascii="Times New Roman" w:hAnsi="Times New Roman" w:eastAsia="宋体" w:cs="Times New Roman"/>
                <w:sz w:val="24"/>
                <w:szCs w:val="24"/>
                <w:lang w:val="en-US" w:eastAsia="zh-CN"/>
              </w:rPr>
              <w:t>沉淀池一座</w:t>
            </w: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m</w:t>
            </w:r>
            <w:r>
              <w:rPr>
                <w:rFonts w:hint="default" w:ascii="Times New Roman" w:hAnsi="Times New Roman" w:eastAsia="宋体" w:cs="Times New Roman"/>
                <w:sz w:val="24"/>
                <w:szCs w:val="24"/>
                <w:vertAlign w:val="superscript"/>
                <w:lang w:val="en-US" w:eastAsia="zh-CN"/>
              </w:rPr>
              <w:t>3</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，废水沉淀时间超过48小时，可满足废水沉淀处理需求</w:t>
            </w:r>
            <w:r>
              <w:rPr>
                <w:rFonts w:hint="eastAsia" w:cs="Times New Roman"/>
                <w:sz w:val="24"/>
                <w:szCs w:val="24"/>
                <w:lang w:val="en-US" w:eastAsia="zh-CN"/>
              </w:rPr>
              <w:t>，废水经沉淀后会用于生产</w:t>
            </w:r>
            <w:r>
              <w:rPr>
                <w:rFonts w:hint="default" w:ascii="Times New Roman" w:hAnsi="Times New Roman" w:eastAsia="宋体" w:cs="Times New Roman"/>
                <w:sz w:val="24"/>
                <w:szCs w:val="24"/>
                <w:lang w:val="en-US" w:eastAsia="zh-CN"/>
              </w:rPr>
              <w:t>。</w:t>
            </w:r>
          </w:p>
          <w:p>
            <w:pPr>
              <w:spacing w:line="500" w:lineRule="exact"/>
              <w:ind w:firstLine="480" w:firstLineChars="200"/>
              <w:rPr>
                <w:bCs/>
                <w:sz w:val="24"/>
              </w:rPr>
            </w:pPr>
            <w:r>
              <w:rPr>
                <w:rFonts w:hint="default" w:ascii="Times New Roman" w:hAnsi="Times New Roman" w:eastAsia="宋体" w:cs="Times New Roman"/>
                <w:sz w:val="24"/>
                <w:szCs w:val="24"/>
                <w:lang w:eastAsia="zh-CN"/>
              </w:rPr>
              <w:t>本</w:t>
            </w:r>
            <w:r>
              <w:rPr>
                <w:rFonts w:hint="default" w:ascii="Times New Roman" w:hAnsi="Times New Roman" w:eastAsia="宋体" w:cs="Times New Roman"/>
                <w:color w:val="auto"/>
                <w:sz w:val="24"/>
                <w:szCs w:val="24"/>
                <w:lang w:eastAsia="zh-CN"/>
              </w:rPr>
              <w:t>项目生活污水处理依托</w:t>
            </w:r>
            <w:r>
              <w:rPr>
                <w:rFonts w:hint="default" w:ascii="Times New Roman" w:hAnsi="Times New Roman" w:eastAsia="宋体" w:cs="Times New Roman"/>
                <w:color w:val="auto"/>
                <w:sz w:val="24"/>
                <w:szCs w:val="24"/>
                <w:lang w:val="en-US" w:eastAsia="zh-CN"/>
              </w:rPr>
              <w:t>现有</w:t>
            </w:r>
            <w:r>
              <w:rPr>
                <w:rFonts w:hint="default" w:ascii="Times New Roman" w:hAnsi="Times New Roman" w:eastAsia="宋体" w:cs="Times New Roman"/>
                <w:color w:val="auto"/>
                <w:sz w:val="24"/>
                <w:szCs w:val="24"/>
              </w:rPr>
              <w:t>化粪池（</w:t>
            </w:r>
            <w:r>
              <w:rPr>
                <w:rFonts w:hint="eastAsia" w:cs="Times New Roman"/>
                <w:color w:val="auto"/>
                <w:sz w:val="24"/>
                <w:szCs w:val="24"/>
                <w:lang w:val="en-US" w:eastAsia="zh-CN"/>
              </w:rPr>
              <w:t>16</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，生活污水产生量为</w:t>
            </w:r>
            <w:r>
              <w:rPr>
                <w:rFonts w:hint="eastAsia" w:cs="Times New Roman"/>
                <w:color w:val="auto"/>
                <w:sz w:val="24"/>
                <w:szCs w:val="24"/>
                <w:lang w:val="en-US" w:eastAsia="zh-CN"/>
              </w:rPr>
              <w:t>0.368</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可满足生活污水处置要求。</w:t>
            </w:r>
            <w:r>
              <w:rPr>
                <w:bCs/>
                <w:sz w:val="24"/>
              </w:rPr>
              <w:t>经调查，项目周边有大面积农田分布，生活污水经化粪池处理后周边农田施肥可行。</w:t>
            </w:r>
          </w:p>
          <w:p>
            <w:pPr>
              <w:numPr>
                <w:ilvl w:val="0"/>
                <w:numId w:val="0"/>
              </w:numPr>
              <w:autoSpaceDE w:val="0"/>
              <w:autoSpaceDN w:val="0"/>
              <w:adjustRightInd w:val="0"/>
              <w:spacing w:line="520" w:lineRule="exact"/>
              <w:ind w:leftChars="200"/>
              <w:rPr>
                <w:rFonts w:hint="eastAsia" w:ascii="Times New Roman" w:hAnsi="Times New Roman" w:eastAsia="黑体" w:cs="Times New Roman"/>
                <w:kern w:val="0"/>
                <w:sz w:val="24"/>
                <w:lang w:eastAsia="zh-TW"/>
              </w:rPr>
            </w:pPr>
            <w:r>
              <w:rPr>
                <w:rFonts w:hint="eastAsia" w:eastAsia="黑体" w:cs="Times New Roman"/>
                <w:kern w:val="0"/>
                <w:sz w:val="24"/>
                <w:lang w:val="en-US" w:eastAsia="zh-CN"/>
              </w:rPr>
              <w:t>表35</w:t>
            </w:r>
            <w:r>
              <w:rPr>
                <w:rFonts w:hint="eastAsia" w:ascii="Times New Roman" w:hAnsi="Times New Roman" w:eastAsia="黑体" w:cs="Times New Roman"/>
                <w:kern w:val="0"/>
                <w:sz w:val="24"/>
                <w:lang w:val="en-US" w:eastAsia="zh-CN"/>
              </w:rPr>
              <w:t xml:space="preserve">       </w:t>
            </w:r>
            <w:r>
              <w:rPr>
                <w:rFonts w:hint="eastAsia" w:ascii="Times New Roman" w:hAnsi="Times New Roman" w:eastAsia="黑体" w:cs="Times New Roman"/>
                <w:kern w:val="0"/>
                <w:sz w:val="24"/>
                <w:lang w:eastAsia="zh-TW"/>
              </w:rPr>
              <w:t>废水类别、污染物及污染治理设施信息表</w:t>
            </w:r>
          </w:p>
          <w:tbl>
            <w:tblPr>
              <w:tblStyle w:val="32"/>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0"/>
              <w:gridCol w:w="585"/>
              <w:gridCol w:w="860"/>
              <w:gridCol w:w="598"/>
              <w:gridCol w:w="539"/>
              <w:gridCol w:w="825"/>
              <w:gridCol w:w="909"/>
              <w:gridCol w:w="908"/>
              <w:gridCol w:w="546"/>
              <w:gridCol w:w="80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480"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序</w:t>
                  </w:r>
                </w:p>
                <w:p>
                  <w:pPr>
                    <w:jc w:val="center"/>
                    <w:rPr>
                      <w:rFonts w:hint="default" w:ascii="Times New Roman" w:hAnsi="Times New Roman" w:cs="Times New Roman"/>
                      <w:sz w:val="21"/>
                      <w:szCs w:val="21"/>
                    </w:rPr>
                  </w:pPr>
                  <w:r>
                    <w:rPr>
                      <w:rFonts w:hint="default" w:ascii="Times New Roman" w:hAnsi="Times New Roman" w:cs="Times New Roman"/>
                      <w:sz w:val="21"/>
                      <w:szCs w:val="21"/>
                    </w:rPr>
                    <w:t>号</w:t>
                  </w:r>
                </w:p>
              </w:tc>
              <w:tc>
                <w:tcPr>
                  <w:tcW w:w="585"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废水类别</w:t>
                  </w:r>
                </w:p>
              </w:tc>
              <w:tc>
                <w:tcPr>
                  <w:tcW w:w="860"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污染物种类</w:t>
                  </w:r>
                </w:p>
              </w:tc>
              <w:tc>
                <w:tcPr>
                  <w:tcW w:w="598"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排放去向</w:t>
                  </w:r>
                </w:p>
              </w:tc>
              <w:tc>
                <w:tcPr>
                  <w:tcW w:w="539"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排放规律</w:t>
                  </w:r>
                </w:p>
              </w:tc>
              <w:tc>
                <w:tcPr>
                  <w:tcW w:w="2642" w:type="dxa"/>
                  <w:gridSpan w:val="3"/>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w:t>
                  </w:r>
                </w:p>
              </w:tc>
              <w:tc>
                <w:tcPr>
                  <w:tcW w:w="546"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排放口编号</w:t>
                  </w:r>
                </w:p>
              </w:tc>
              <w:tc>
                <w:tcPr>
                  <w:tcW w:w="808"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排放口设置是否符合要求</w:t>
                  </w:r>
                </w:p>
              </w:tc>
              <w:tc>
                <w:tcPr>
                  <w:tcW w:w="1747"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排放口</w:t>
                  </w:r>
                </w:p>
                <w:p>
                  <w:pPr>
                    <w:jc w:val="center"/>
                    <w:rPr>
                      <w:rFonts w:hint="default" w:ascii="Times New Roman" w:hAnsi="Times New Roman" w:cs="Times New Roman"/>
                      <w:sz w:val="21"/>
                      <w:szCs w:val="21"/>
                    </w:rPr>
                  </w:pPr>
                  <w:r>
                    <w:rPr>
                      <w:rFonts w:hint="default" w:ascii="Times New Roman" w:hAnsi="Times New Roman" w:cs="Times New Roman"/>
                      <w:sz w:val="21"/>
                      <w:szCs w:val="21"/>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480" w:type="dxa"/>
                  <w:vMerge w:val="continue"/>
                  <w:shd w:val="clear" w:color="auto" w:fill="FFFFFF"/>
                  <w:noWrap w:val="0"/>
                  <w:vAlign w:val="center"/>
                </w:tcPr>
                <w:p>
                  <w:pPr>
                    <w:jc w:val="center"/>
                    <w:rPr>
                      <w:rFonts w:hint="default" w:ascii="Times New Roman" w:hAnsi="Times New Roman" w:cs="Times New Roman"/>
                      <w:sz w:val="21"/>
                      <w:szCs w:val="21"/>
                    </w:rPr>
                  </w:pPr>
                </w:p>
              </w:tc>
              <w:tc>
                <w:tcPr>
                  <w:tcW w:w="585" w:type="dxa"/>
                  <w:vMerge w:val="continue"/>
                  <w:shd w:val="clear" w:color="auto" w:fill="FFFFFF"/>
                  <w:noWrap w:val="0"/>
                  <w:vAlign w:val="center"/>
                </w:tcPr>
                <w:p>
                  <w:pPr>
                    <w:jc w:val="center"/>
                    <w:rPr>
                      <w:rFonts w:hint="default" w:ascii="Times New Roman" w:hAnsi="Times New Roman" w:cs="Times New Roman"/>
                      <w:sz w:val="21"/>
                      <w:szCs w:val="21"/>
                    </w:rPr>
                  </w:pPr>
                </w:p>
              </w:tc>
              <w:tc>
                <w:tcPr>
                  <w:tcW w:w="860" w:type="dxa"/>
                  <w:vMerge w:val="continue"/>
                  <w:shd w:val="clear" w:color="auto" w:fill="FFFFFF"/>
                  <w:noWrap w:val="0"/>
                  <w:vAlign w:val="center"/>
                </w:tcPr>
                <w:p>
                  <w:pPr>
                    <w:jc w:val="center"/>
                    <w:rPr>
                      <w:rFonts w:hint="default" w:ascii="Times New Roman" w:hAnsi="Times New Roman" w:cs="Times New Roman"/>
                      <w:sz w:val="21"/>
                      <w:szCs w:val="21"/>
                    </w:rPr>
                  </w:pPr>
                </w:p>
              </w:tc>
              <w:tc>
                <w:tcPr>
                  <w:tcW w:w="598" w:type="dxa"/>
                  <w:vMerge w:val="continue"/>
                  <w:shd w:val="clear" w:color="auto" w:fill="FFFFFF"/>
                  <w:noWrap w:val="0"/>
                  <w:vAlign w:val="center"/>
                </w:tcPr>
                <w:p>
                  <w:pPr>
                    <w:jc w:val="center"/>
                    <w:rPr>
                      <w:rFonts w:hint="default" w:ascii="Times New Roman" w:hAnsi="Times New Roman" w:cs="Times New Roman"/>
                      <w:sz w:val="21"/>
                      <w:szCs w:val="21"/>
                    </w:rPr>
                  </w:pPr>
                </w:p>
              </w:tc>
              <w:tc>
                <w:tcPr>
                  <w:tcW w:w="539" w:type="dxa"/>
                  <w:vMerge w:val="continue"/>
                  <w:shd w:val="clear" w:color="auto" w:fill="FFFFFF"/>
                  <w:noWrap w:val="0"/>
                  <w:vAlign w:val="center"/>
                </w:tcPr>
                <w:p>
                  <w:pPr>
                    <w:jc w:val="center"/>
                    <w:rPr>
                      <w:rFonts w:hint="default" w:ascii="Times New Roman" w:hAnsi="Times New Roman" w:cs="Times New Roman"/>
                      <w:sz w:val="21"/>
                      <w:szCs w:val="21"/>
                    </w:rPr>
                  </w:pPr>
                </w:p>
              </w:tc>
              <w:tc>
                <w:tcPr>
                  <w:tcW w:w="825"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污染治理设施编号</w:t>
                  </w:r>
                </w:p>
              </w:tc>
              <w:tc>
                <w:tcPr>
                  <w:tcW w:w="909"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污染治理设施名称</w:t>
                  </w:r>
                </w:p>
              </w:tc>
              <w:tc>
                <w:tcPr>
                  <w:tcW w:w="908"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污染治理设施工艺</w:t>
                  </w:r>
                </w:p>
              </w:tc>
              <w:tc>
                <w:tcPr>
                  <w:tcW w:w="546" w:type="dxa"/>
                  <w:vMerge w:val="continue"/>
                  <w:shd w:val="clear" w:color="auto" w:fill="FFFFFF"/>
                  <w:noWrap w:val="0"/>
                  <w:vAlign w:val="center"/>
                </w:tcPr>
                <w:p>
                  <w:pPr>
                    <w:jc w:val="center"/>
                    <w:rPr>
                      <w:rFonts w:hint="default" w:ascii="Times New Roman" w:hAnsi="Times New Roman" w:cs="Times New Roman"/>
                      <w:sz w:val="21"/>
                      <w:szCs w:val="21"/>
                    </w:rPr>
                  </w:pP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585"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生活污</w:t>
                  </w:r>
                  <w:r>
                    <w:rPr>
                      <w:rFonts w:hint="default" w:ascii="Times New Roman" w:hAnsi="Times New Roman" w:cs="Times New Roman"/>
                      <w:sz w:val="21"/>
                      <w:szCs w:val="21"/>
                    </w:rPr>
                    <w:t>水</w:t>
                  </w:r>
                </w:p>
              </w:tc>
              <w:tc>
                <w:tcPr>
                  <w:tcW w:w="86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COD</w:t>
                  </w:r>
                </w:p>
              </w:tc>
              <w:tc>
                <w:tcPr>
                  <w:tcW w:w="598"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不外排</w:t>
                  </w:r>
                </w:p>
              </w:tc>
              <w:tc>
                <w:tcPr>
                  <w:tcW w:w="539"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25" w:type="dxa"/>
                  <w:vMerge w:val="restart"/>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TW001</w:t>
                  </w:r>
                </w:p>
              </w:tc>
              <w:tc>
                <w:tcPr>
                  <w:tcW w:w="909" w:type="dxa"/>
                  <w:vMerge w:val="restart"/>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化粪池</w:t>
                  </w:r>
                </w:p>
              </w:tc>
              <w:tc>
                <w:tcPr>
                  <w:tcW w:w="908" w:type="dxa"/>
                  <w:vMerge w:val="restart"/>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化粪池</w:t>
                  </w:r>
                </w:p>
              </w:tc>
              <w:tc>
                <w:tcPr>
                  <w:tcW w:w="546" w:type="dxa"/>
                  <w:vMerge w:val="restart"/>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808" w:type="dxa"/>
                  <w:vMerge w:val="restart"/>
                  <w:shd w:val="clear" w:color="auto" w:fill="FFFFFF"/>
                  <w:noWrap w:val="0"/>
                  <w:vAlign w:val="center"/>
                </w:tcPr>
                <w:p>
                  <w:pPr>
                    <w:pStyle w:val="28"/>
                    <w:keepNext w:val="0"/>
                    <w:keepLines w:val="0"/>
                    <w:suppressLineNumbers w:val="0"/>
                    <w:spacing w:before="0" w:beforeAutospacing="0" w:after="0" w:afterAutospacing="0" w:line="360" w:lineRule="exact"/>
                    <w:ind w:left="0" w:right="0"/>
                    <w:jc w:val="center"/>
                    <w:rPr>
                      <w:rFonts w:ascii="Times New Roman" w:hAnsi="Times New Roman" w:cs="Times New Roman"/>
                      <w:bCs/>
                      <w:snapToGrid w:val="0"/>
                      <w:color w:val="auto"/>
                      <w:sz w:val="21"/>
                      <w:szCs w:val="21"/>
                      <w:highlight w:val="none"/>
                    </w:rPr>
                  </w:pPr>
                  <w:r>
                    <w:rPr>
                      <w:rFonts w:ascii="Times New Roman" w:hAnsi="Times New Roman" w:eastAsia="Wingdings 2" w:cs="Times New Roman"/>
                      <w:bCs/>
                      <w:color w:val="auto"/>
                      <w:sz w:val="21"/>
                      <w:szCs w:val="21"/>
                      <w:highlight w:val="none"/>
                    </w:rPr>
                    <w:sym w:font="Wingdings 2" w:char="00A3"/>
                  </w:r>
                  <w:r>
                    <w:rPr>
                      <w:rFonts w:ascii="Times New Roman" w:hAnsi="Times New Roman" w:cs="Times New Roman"/>
                      <w:bCs/>
                      <w:snapToGrid w:val="0"/>
                      <w:color w:val="auto"/>
                      <w:sz w:val="21"/>
                      <w:szCs w:val="21"/>
                      <w:highlight w:val="none"/>
                    </w:rPr>
                    <w:t>是</w:t>
                  </w:r>
                </w:p>
                <w:p>
                  <w:pPr>
                    <w:jc w:val="center"/>
                    <w:rPr>
                      <w:rFonts w:hint="default" w:ascii="Times New Roman" w:hAnsi="Times New Roman" w:cs="Times New Roman"/>
                      <w:sz w:val="21"/>
                      <w:szCs w:val="21"/>
                    </w:rPr>
                  </w:pPr>
                  <w:r>
                    <w:rPr>
                      <w:rFonts w:ascii="Times New Roman" w:hAnsi="Times New Roman" w:eastAsia="Wingdings 2" w:cs="Times New Roman"/>
                      <w:bCs/>
                      <w:color w:val="auto"/>
                      <w:sz w:val="21"/>
                      <w:szCs w:val="21"/>
                      <w:highlight w:val="none"/>
                    </w:rPr>
                    <w:sym w:font="Wingdings 2" w:char="00A3"/>
                  </w:r>
                  <w:r>
                    <w:rPr>
                      <w:rFonts w:ascii="Times New Roman" w:hAnsi="Times New Roman" w:cs="Times New Roman"/>
                      <w:bCs/>
                      <w:snapToGrid w:val="0"/>
                      <w:color w:val="auto"/>
                      <w:sz w:val="21"/>
                      <w:szCs w:val="21"/>
                      <w:highlight w:val="none"/>
                    </w:rPr>
                    <w:t>否</w:t>
                  </w:r>
                </w:p>
              </w:tc>
              <w:tc>
                <w:tcPr>
                  <w:tcW w:w="1747"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□企业总排</w:t>
                  </w:r>
                </w:p>
                <w:p>
                  <w:pPr>
                    <w:jc w:val="center"/>
                    <w:rPr>
                      <w:rFonts w:hint="default" w:ascii="Times New Roman" w:hAnsi="Times New Roman" w:cs="Times New Roman"/>
                      <w:sz w:val="21"/>
                      <w:szCs w:val="21"/>
                    </w:rPr>
                  </w:pPr>
                  <w:r>
                    <w:rPr>
                      <w:rFonts w:hint="default" w:ascii="Times New Roman" w:hAnsi="Times New Roman" w:cs="Times New Roman"/>
                      <w:sz w:val="21"/>
                      <w:szCs w:val="21"/>
                    </w:rPr>
                    <w:t>□雨水排放</w:t>
                  </w:r>
                </w:p>
                <w:p>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□淸净下水排放 </w:t>
                  </w:r>
                </w:p>
                <w:p>
                  <w:pPr>
                    <w:jc w:val="center"/>
                    <w:rPr>
                      <w:rFonts w:hint="default" w:ascii="Times New Roman" w:hAnsi="Times New Roman" w:cs="Times New Roman"/>
                      <w:sz w:val="21"/>
                      <w:szCs w:val="21"/>
                    </w:rPr>
                  </w:pPr>
                  <w:r>
                    <w:rPr>
                      <w:rFonts w:hint="default" w:ascii="Times New Roman" w:hAnsi="Times New Roman" w:cs="Times New Roman"/>
                      <w:sz w:val="21"/>
                      <w:szCs w:val="21"/>
                    </w:rPr>
                    <w:t>□温排水排放</w:t>
                  </w:r>
                </w:p>
                <w:p>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 □车间或车间处理设施排放口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585" w:type="dxa"/>
                  <w:vMerge w:val="continue"/>
                  <w:shd w:val="clear" w:color="auto" w:fill="FFFFFF"/>
                  <w:noWrap w:val="0"/>
                  <w:vAlign w:val="center"/>
                </w:tcPr>
                <w:p>
                  <w:pPr>
                    <w:jc w:val="center"/>
                    <w:rPr>
                      <w:rFonts w:hint="default" w:ascii="Times New Roman" w:hAnsi="Times New Roman" w:cs="Times New Roman"/>
                      <w:sz w:val="21"/>
                      <w:szCs w:val="21"/>
                    </w:rPr>
                  </w:pPr>
                </w:p>
              </w:tc>
              <w:tc>
                <w:tcPr>
                  <w:tcW w:w="86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氨氮</w:t>
                  </w:r>
                </w:p>
              </w:tc>
              <w:tc>
                <w:tcPr>
                  <w:tcW w:w="598" w:type="dxa"/>
                  <w:vMerge w:val="continue"/>
                  <w:shd w:val="clear" w:color="auto" w:fill="FFFFFF"/>
                  <w:noWrap w:val="0"/>
                  <w:vAlign w:val="center"/>
                </w:tcPr>
                <w:p>
                  <w:pPr>
                    <w:jc w:val="center"/>
                    <w:rPr>
                      <w:rFonts w:hint="default" w:ascii="Times New Roman" w:hAnsi="Times New Roman" w:cs="Times New Roman"/>
                      <w:sz w:val="21"/>
                      <w:szCs w:val="21"/>
                    </w:rPr>
                  </w:pPr>
                </w:p>
              </w:tc>
              <w:tc>
                <w:tcPr>
                  <w:tcW w:w="539" w:type="dxa"/>
                  <w:vMerge w:val="continue"/>
                  <w:shd w:val="clear" w:color="auto" w:fill="FFFFFF"/>
                  <w:noWrap w:val="0"/>
                  <w:vAlign w:val="center"/>
                </w:tcPr>
                <w:p>
                  <w:pPr>
                    <w:jc w:val="center"/>
                    <w:rPr>
                      <w:rFonts w:hint="default" w:ascii="Times New Roman" w:hAnsi="Times New Roman" w:cs="Times New Roman"/>
                      <w:sz w:val="21"/>
                      <w:szCs w:val="21"/>
                    </w:rPr>
                  </w:pPr>
                </w:p>
              </w:tc>
              <w:tc>
                <w:tcPr>
                  <w:tcW w:w="825" w:type="dxa"/>
                  <w:vMerge w:val="continue"/>
                  <w:shd w:val="clear" w:color="auto" w:fill="FFFFFF"/>
                  <w:noWrap w:val="0"/>
                  <w:vAlign w:val="center"/>
                </w:tcPr>
                <w:p>
                  <w:pPr>
                    <w:jc w:val="center"/>
                    <w:rPr>
                      <w:rFonts w:hint="default" w:ascii="Times New Roman" w:hAnsi="Times New Roman" w:cs="Times New Roman"/>
                      <w:sz w:val="21"/>
                      <w:szCs w:val="21"/>
                    </w:rPr>
                  </w:pPr>
                </w:p>
              </w:tc>
              <w:tc>
                <w:tcPr>
                  <w:tcW w:w="909" w:type="dxa"/>
                  <w:vMerge w:val="continue"/>
                  <w:shd w:val="clear" w:color="auto" w:fill="FFFFFF"/>
                  <w:noWrap w:val="0"/>
                  <w:vAlign w:val="center"/>
                </w:tcPr>
                <w:p>
                  <w:pPr>
                    <w:jc w:val="center"/>
                    <w:rPr>
                      <w:rFonts w:hint="default" w:ascii="Times New Roman" w:hAnsi="Times New Roman" w:cs="Times New Roman"/>
                      <w:sz w:val="21"/>
                      <w:szCs w:val="21"/>
                    </w:rPr>
                  </w:pPr>
                </w:p>
              </w:tc>
              <w:tc>
                <w:tcPr>
                  <w:tcW w:w="9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546" w:type="dxa"/>
                  <w:vMerge w:val="continue"/>
                  <w:shd w:val="clear" w:color="auto" w:fill="FFFFFF"/>
                  <w:noWrap w:val="0"/>
                  <w:vAlign w:val="center"/>
                </w:tcPr>
                <w:p>
                  <w:pPr>
                    <w:jc w:val="center"/>
                    <w:rPr>
                      <w:rFonts w:hint="default" w:ascii="Times New Roman" w:hAnsi="Times New Roman" w:cs="Times New Roman"/>
                      <w:sz w:val="21"/>
                      <w:szCs w:val="21"/>
                    </w:rPr>
                  </w:pP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22"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p>
              </w:tc>
              <w:tc>
                <w:tcPr>
                  <w:tcW w:w="585"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eastAsia" w:cs="Times New Roman"/>
                      <w:sz w:val="21"/>
                      <w:szCs w:val="21"/>
                      <w:lang w:val="en-US" w:eastAsia="zh-CN"/>
                    </w:rPr>
                    <w:t>场地、设备冲洗</w:t>
                  </w:r>
                  <w:r>
                    <w:rPr>
                      <w:rFonts w:hint="default" w:ascii="Times New Roman" w:hAnsi="Times New Roman" w:cs="Times New Roman"/>
                      <w:sz w:val="21"/>
                      <w:szCs w:val="21"/>
                      <w:lang w:val="en-US" w:eastAsia="zh-CN"/>
                    </w:rPr>
                    <w:t>废水</w:t>
                  </w:r>
                </w:p>
              </w:tc>
              <w:tc>
                <w:tcPr>
                  <w:tcW w:w="860" w:type="dxa"/>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SS</w:t>
                  </w:r>
                </w:p>
              </w:tc>
              <w:tc>
                <w:tcPr>
                  <w:tcW w:w="598" w:type="dxa"/>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不外排</w:t>
                  </w:r>
                </w:p>
              </w:tc>
              <w:tc>
                <w:tcPr>
                  <w:tcW w:w="539"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825"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TW002</w:t>
                  </w:r>
                </w:p>
              </w:tc>
              <w:tc>
                <w:tcPr>
                  <w:tcW w:w="909"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沉淀池</w:t>
                  </w:r>
                </w:p>
              </w:tc>
              <w:tc>
                <w:tcPr>
                  <w:tcW w:w="908" w:type="dxa"/>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沉淀池</w:t>
                  </w:r>
                </w:p>
              </w:tc>
              <w:tc>
                <w:tcPr>
                  <w:tcW w:w="546"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2"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w:t>
                  </w:r>
                </w:p>
              </w:tc>
              <w:tc>
                <w:tcPr>
                  <w:tcW w:w="585"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洗车</w:t>
                  </w:r>
                </w:p>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废水</w:t>
                  </w:r>
                </w:p>
              </w:tc>
              <w:tc>
                <w:tcPr>
                  <w:tcW w:w="860"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SS</w:t>
                  </w:r>
                </w:p>
              </w:tc>
              <w:tc>
                <w:tcPr>
                  <w:tcW w:w="598"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不外排</w:t>
                  </w:r>
                </w:p>
              </w:tc>
              <w:tc>
                <w:tcPr>
                  <w:tcW w:w="539"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25"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TW003</w:t>
                  </w:r>
                </w:p>
              </w:tc>
              <w:tc>
                <w:tcPr>
                  <w:tcW w:w="909" w:type="dxa"/>
                  <w:shd w:val="clear" w:color="auto" w:fill="FFFFFF"/>
                  <w:noWrap w:val="0"/>
                  <w:vAlign w:val="center"/>
                </w:tcPr>
                <w:p>
                  <w:pPr>
                    <w:jc w:val="center"/>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沉淀池</w:t>
                  </w:r>
                </w:p>
              </w:tc>
              <w:tc>
                <w:tcPr>
                  <w:tcW w:w="908"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沉淀池</w:t>
                  </w:r>
                </w:p>
              </w:tc>
              <w:tc>
                <w:tcPr>
                  <w:tcW w:w="546"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bl>
          <w:p>
            <w:pPr>
              <w:spacing w:line="520" w:lineRule="exact"/>
              <w:ind w:firstLine="480"/>
              <w:rPr>
                <w:sz w:val="24"/>
              </w:rPr>
            </w:pPr>
            <w:r>
              <w:rPr>
                <w:sz w:val="24"/>
              </w:rPr>
              <w:t>综上，本项目无废水排放，对区域地表水体影响较小。</w:t>
            </w:r>
          </w:p>
          <w:p>
            <w:pPr>
              <w:pStyle w:val="58"/>
              <w:ind w:firstLine="360" w:firstLineChars="150"/>
              <w:jc w:val="center"/>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val="en-US" w:eastAsia="zh-CN"/>
              </w:rPr>
              <w:t>表</w:t>
            </w:r>
            <w:r>
              <w:rPr>
                <w:rFonts w:hint="eastAsia" w:ascii="Times New Roman" w:hAnsi="Times New Roman" w:eastAsia="黑体" w:cs="Times New Roman"/>
                <w:color w:val="auto"/>
                <w:lang w:val="en-US" w:eastAsia="zh-CN"/>
              </w:rPr>
              <w:t>36</w:t>
            </w:r>
            <w:r>
              <w:rPr>
                <w:rFonts w:hint="default" w:ascii="Times New Roman" w:hAnsi="Times New Roman" w:eastAsia="黑体" w:cs="Times New Roman"/>
                <w:color w:val="auto"/>
                <w:lang w:val="en-US" w:eastAsia="zh-CN"/>
              </w:rPr>
              <w:t xml:space="preserve">      </w:t>
            </w:r>
            <w:r>
              <w:rPr>
                <w:rFonts w:hint="eastAsia"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lang w:val="en-US" w:eastAsia="zh-CN"/>
              </w:rPr>
              <w:t xml:space="preserve">     建设项目地表水环境影响评价自查表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909"/>
              <w:gridCol w:w="1149"/>
              <w:gridCol w:w="759"/>
              <w:gridCol w:w="338"/>
              <w:gridCol w:w="1629"/>
              <w:gridCol w:w="132"/>
              <w:gridCol w:w="130"/>
              <w:gridCol w:w="1067"/>
              <w:gridCol w:w="160"/>
              <w:gridCol w:w="931"/>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noWrap w:val="0"/>
                  <w:vAlign w:val="center"/>
                </w:tcPr>
                <w:p>
                  <w:pPr>
                    <w:widowControl w:val="0"/>
                    <w:jc w:val="center"/>
                    <w:rPr>
                      <w:rFonts w:hint="default"/>
                    </w:rPr>
                  </w:pPr>
                  <w:r>
                    <w:rPr>
                      <w:rFonts w:hint="default"/>
                    </w:rPr>
                    <w:t>工作内容</w:t>
                  </w:r>
                </w:p>
              </w:tc>
              <w:tc>
                <w:tcPr>
                  <w:tcW w:w="7399" w:type="dxa"/>
                  <w:gridSpan w:val="10"/>
                  <w:noWrap w:val="0"/>
                  <w:vAlign w:val="center"/>
                </w:tcPr>
                <w:p>
                  <w:pPr>
                    <w:widowControl w:val="0"/>
                    <w:autoSpaceDE w:val="0"/>
                    <w:autoSpaceDN w:val="0"/>
                    <w:adjustRightInd w:val="0"/>
                    <w:jc w:val="center"/>
                    <w:rPr>
                      <w:rFonts w:hint="default"/>
                    </w:rPr>
                  </w:pPr>
                  <w:r>
                    <w:rPr>
                      <w:rFonts w:hint="default"/>
                    </w:rPr>
                    <w:t>自查项目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jc w:val="center"/>
                    <w:rPr>
                      <w:rFonts w:hint="default"/>
                    </w:rPr>
                  </w:pPr>
                  <w:r>
                    <w:rPr>
                      <w:rFonts w:hint="default"/>
                    </w:rPr>
                    <w:t>影</w:t>
                  </w:r>
                </w:p>
                <w:p>
                  <w:pPr>
                    <w:widowControl w:val="0"/>
                    <w:jc w:val="center"/>
                    <w:rPr>
                      <w:rFonts w:hint="default"/>
                    </w:rPr>
                  </w:pPr>
                  <w:r>
                    <w:rPr>
                      <w:rFonts w:hint="default"/>
                    </w:rPr>
                    <w:t>响</w:t>
                  </w:r>
                </w:p>
                <w:p>
                  <w:pPr>
                    <w:widowControl w:val="0"/>
                    <w:jc w:val="center"/>
                    <w:rPr>
                      <w:rFonts w:hint="default"/>
                    </w:rPr>
                  </w:pPr>
                  <w:r>
                    <w:rPr>
                      <w:rFonts w:hint="default"/>
                    </w:rPr>
                    <w:t>识</w:t>
                  </w:r>
                </w:p>
                <w:p>
                  <w:pPr>
                    <w:widowControl w:val="0"/>
                    <w:jc w:val="center"/>
                    <w:rPr>
                      <w:rFonts w:hint="default"/>
                    </w:rPr>
                  </w:pPr>
                  <w:r>
                    <w:rPr>
                      <w:rFonts w:hint="default"/>
                    </w:rPr>
                    <w:t>别</w:t>
                  </w:r>
                </w:p>
              </w:tc>
              <w:tc>
                <w:tcPr>
                  <w:tcW w:w="909" w:type="dxa"/>
                  <w:noWrap w:val="0"/>
                  <w:vAlign w:val="center"/>
                </w:tcPr>
                <w:p>
                  <w:pPr>
                    <w:widowControl w:val="0"/>
                    <w:jc w:val="center"/>
                    <w:rPr>
                      <w:rFonts w:hint="default"/>
                    </w:rPr>
                  </w:pPr>
                  <w:r>
                    <w:rPr>
                      <w:rFonts w:hint="default"/>
                    </w:rPr>
                    <w:t>影响类型</w:t>
                  </w:r>
                </w:p>
              </w:tc>
              <w:tc>
                <w:tcPr>
                  <w:tcW w:w="7399" w:type="dxa"/>
                  <w:gridSpan w:val="10"/>
                  <w:noWrap w:val="0"/>
                  <w:vAlign w:val="center"/>
                </w:tcPr>
                <w:p>
                  <w:pPr>
                    <w:widowControl w:val="0"/>
                    <w:autoSpaceDE w:val="0"/>
                    <w:autoSpaceDN w:val="0"/>
                    <w:adjustRightInd w:val="0"/>
                    <w:jc w:val="left"/>
                    <w:rPr>
                      <w:rFonts w:hint="default"/>
                    </w:rPr>
                  </w:pPr>
                  <w:r>
                    <w:rPr>
                      <w:rFonts w:hint="default"/>
                    </w:rPr>
                    <w:t>水污染影响型 √；水文要素影响型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jc w:val="center"/>
                    <w:rPr>
                      <w:rFonts w:hint="default"/>
                    </w:rPr>
                  </w:pPr>
                  <w:r>
                    <w:rPr>
                      <w:rFonts w:hint="default"/>
                    </w:rPr>
                    <w:t>水环境保护目标</w:t>
                  </w:r>
                </w:p>
              </w:tc>
              <w:tc>
                <w:tcPr>
                  <w:tcW w:w="7399" w:type="dxa"/>
                  <w:gridSpan w:val="10"/>
                  <w:noWrap w:val="0"/>
                  <w:vAlign w:val="center"/>
                </w:tcPr>
                <w:p>
                  <w:pPr>
                    <w:widowControl w:val="0"/>
                    <w:autoSpaceDE w:val="0"/>
                    <w:autoSpaceDN w:val="0"/>
                    <w:adjustRightInd w:val="0"/>
                    <w:jc w:val="left"/>
                    <w:rPr>
                      <w:rFonts w:hint="default"/>
                    </w:rPr>
                  </w:pPr>
                  <w:r>
                    <w:rPr>
                      <w:rFonts w:hint="default"/>
                    </w:rPr>
                    <w:t>饮用水水源保护区 □；饮用水取水口 □；涉水的自然保护区 □；</w:t>
                  </w:r>
                </w:p>
                <w:p>
                  <w:pPr>
                    <w:widowControl w:val="0"/>
                    <w:autoSpaceDE w:val="0"/>
                    <w:autoSpaceDN w:val="0"/>
                    <w:adjustRightInd w:val="0"/>
                    <w:jc w:val="left"/>
                    <w:rPr>
                      <w:rFonts w:hint="default"/>
                    </w:rPr>
                  </w:pPr>
                  <w:r>
                    <w:rPr>
                      <w:rFonts w:hint="default"/>
                    </w:rPr>
                    <w:t>重要湿地 □；重点保护与珍稀水生生物的栖息地 □；重要水生生物的自然产卵场及索饵场、越冬场和洄游通道、天然渔场等渔业水体 □；</w:t>
                  </w:r>
                </w:p>
                <w:p>
                  <w:pPr>
                    <w:widowControl w:val="0"/>
                    <w:autoSpaceDE w:val="0"/>
                    <w:autoSpaceDN w:val="0"/>
                    <w:adjustRightInd w:val="0"/>
                    <w:jc w:val="left"/>
                    <w:rPr>
                      <w:rFonts w:hint="default"/>
                    </w:rPr>
                  </w:pPr>
                  <w:r>
                    <w:rPr>
                      <w:rFonts w:hint="default"/>
                    </w:rPr>
                    <w:t>涉水的风景名胜区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jc w:val="center"/>
                    <w:rPr>
                      <w:rFonts w:hint="default"/>
                    </w:rPr>
                  </w:pPr>
                  <w:r>
                    <w:rPr>
                      <w:rFonts w:hint="default"/>
                    </w:rPr>
                    <w:t>影响途径</w:t>
                  </w:r>
                </w:p>
              </w:tc>
              <w:tc>
                <w:tcPr>
                  <w:tcW w:w="4007" w:type="dxa"/>
                  <w:gridSpan w:val="5"/>
                  <w:noWrap w:val="0"/>
                  <w:vAlign w:val="center"/>
                </w:tcPr>
                <w:p>
                  <w:pPr>
                    <w:widowControl w:val="0"/>
                    <w:jc w:val="center"/>
                    <w:rPr>
                      <w:rFonts w:hint="default"/>
                    </w:rPr>
                  </w:pPr>
                  <w:r>
                    <w:rPr>
                      <w:rFonts w:hint="default"/>
                    </w:rPr>
                    <w:t>水污染影响型</w:t>
                  </w:r>
                </w:p>
              </w:tc>
              <w:tc>
                <w:tcPr>
                  <w:tcW w:w="3392" w:type="dxa"/>
                  <w:gridSpan w:val="5"/>
                  <w:noWrap w:val="0"/>
                  <w:vAlign w:val="center"/>
                </w:tcPr>
                <w:p>
                  <w:pPr>
                    <w:widowControl w:val="0"/>
                    <w:jc w:val="center"/>
                    <w:rPr>
                      <w:rFonts w:hint="default"/>
                    </w:rPr>
                  </w:pPr>
                  <w:r>
                    <w:rPr>
                      <w:rFonts w:hint="default"/>
                    </w:rPr>
                    <w:t>水文要素影响型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 xml:space="preserve">直接排放 □；间接排放 □；其他 </w:t>
                  </w:r>
                  <w:r>
                    <w:rPr>
                      <w:rFonts w:hint="default"/>
                    </w:rPr>
                    <w:sym w:font="Wingdings 2" w:char="00A3"/>
                  </w:r>
                </w:p>
              </w:tc>
              <w:tc>
                <w:tcPr>
                  <w:tcW w:w="3392" w:type="dxa"/>
                  <w:gridSpan w:val="5"/>
                  <w:noWrap w:val="0"/>
                  <w:vAlign w:val="center"/>
                </w:tcPr>
                <w:p>
                  <w:pPr>
                    <w:widowControl w:val="0"/>
                    <w:autoSpaceDE w:val="0"/>
                    <w:autoSpaceDN w:val="0"/>
                    <w:adjustRightInd w:val="0"/>
                    <w:jc w:val="left"/>
                    <w:rPr>
                      <w:rFonts w:hint="default"/>
                    </w:rPr>
                  </w:pPr>
                  <w:r>
                    <w:rPr>
                      <w:rFonts w:hint="default"/>
                    </w:rPr>
                    <w:t>水温 □；径流 □；水域面积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jc w:val="center"/>
                    <w:rPr>
                      <w:rFonts w:hint="default"/>
                    </w:rPr>
                  </w:pPr>
                  <w:r>
                    <w:rPr>
                      <w:rFonts w:hint="default"/>
                    </w:rPr>
                    <w:t>影响因子</w:t>
                  </w:r>
                </w:p>
              </w:tc>
              <w:tc>
                <w:tcPr>
                  <w:tcW w:w="4007" w:type="dxa"/>
                  <w:gridSpan w:val="5"/>
                  <w:noWrap w:val="0"/>
                  <w:vAlign w:val="center"/>
                </w:tcPr>
                <w:p>
                  <w:pPr>
                    <w:widowControl w:val="0"/>
                    <w:autoSpaceDE w:val="0"/>
                    <w:autoSpaceDN w:val="0"/>
                    <w:adjustRightInd w:val="0"/>
                    <w:jc w:val="left"/>
                    <w:rPr>
                      <w:rFonts w:hint="default"/>
                    </w:rPr>
                  </w:pPr>
                  <w:r>
                    <w:rPr>
                      <w:rFonts w:hint="default"/>
                    </w:rPr>
                    <w:t>持久性污染物 □；有毒有害污染物 □；非持久性污染物 □；pH值 □；</w:t>
                  </w:r>
                </w:p>
                <w:p>
                  <w:pPr>
                    <w:widowControl w:val="0"/>
                    <w:autoSpaceDE w:val="0"/>
                    <w:autoSpaceDN w:val="0"/>
                    <w:adjustRightInd w:val="0"/>
                    <w:jc w:val="left"/>
                    <w:rPr>
                      <w:rFonts w:hint="default"/>
                    </w:rPr>
                  </w:pPr>
                  <w:r>
                    <w:rPr>
                      <w:rFonts w:hint="default"/>
                    </w:rPr>
                    <w:t>热污染 □；富营养化 □ ；其他 □</w:t>
                  </w:r>
                </w:p>
              </w:tc>
              <w:tc>
                <w:tcPr>
                  <w:tcW w:w="3392" w:type="dxa"/>
                  <w:gridSpan w:val="5"/>
                  <w:noWrap w:val="0"/>
                  <w:vAlign w:val="center"/>
                </w:tcPr>
                <w:p>
                  <w:pPr>
                    <w:widowControl w:val="0"/>
                    <w:autoSpaceDE w:val="0"/>
                    <w:autoSpaceDN w:val="0"/>
                    <w:adjustRightInd w:val="0"/>
                    <w:jc w:val="left"/>
                    <w:rPr>
                      <w:rFonts w:hint="default"/>
                    </w:rPr>
                  </w:pPr>
                  <w:r>
                    <w:rPr>
                      <w:rFonts w:hint="default"/>
                    </w:rPr>
                    <w:t>水温 □；水位（水深） □；流速 □；流量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vMerge w:val="restart"/>
                  <w:noWrap w:val="0"/>
                  <w:vAlign w:val="center"/>
                </w:tcPr>
                <w:p>
                  <w:pPr>
                    <w:widowControl w:val="0"/>
                    <w:autoSpaceDE w:val="0"/>
                    <w:autoSpaceDN w:val="0"/>
                    <w:adjustRightInd w:val="0"/>
                    <w:jc w:val="center"/>
                    <w:rPr>
                      <w:rFonts w:hint="default"/>
                    </w:rPr>
                  </w:pPr>
                  <w:r>
                    <w:rPr>
                      <w:rFonts w:hint="default"/>
                    </w:rPr>
                    <w:t>评价等级</w:t>
                  </w:r>
                </w:p>
              </w:tc>
              <w:tc>
                <w:tcPr>
                  <w:tcW w:w="4007" w:type="dxa"/>
                  <w:gridSpan w:val="5"/>
                  <w:noWrap w:val="0"/>
                  <w:vAlign w:val="center"/>
                </w:tcPr>
                <w:p>
                  <w:pPr>
                    <w:widowControl w:val="0"/>
                    <w:autoSpaceDE w:val="0"/>
                    <w:autoSpaceDN w:val="0"/>
                    <w:adjustRightInd w:val="0"/>
                    <w:jc w:val="center"/>
                    <w:rPr>
                      <w:rFonts w:hint="default"/>
                    </w:rPr>
                  </w:pPr>
                  <w:r>
                    <w:rPr>
                      <w:rFonts w:hint="default"/>
                    </w:rPr>
                    <w:t>水污染影响型</w:t>
                  </w:r>
                </w:p>
              </w:tc>
              <w:tc>
                <w:tcPr>
                  <w:tcW w:w="3392" w:type="dxa"/>
                  <w:gridSpan w:val="5"/>
                  <w:noWrap w:val="0"/>
                  <w:vAlign w:val="center"/>
                </w:tcPr>
                <w:p>
                  <w:pPr>
                    <w:widowControl w:val="0"/>
                    <w:autoSpaceDE w:val="0"/>
                    <w:autoSpaceDN w:val="0"/>
                    <w:adjustRightInd w:val="0"/>
                    <w:jc w:val="center"/>
                    <w:rPr>
                      <w:rFonts w:hint="default"/>
                    </w:rPr>
                  </w:pPr>
                  <w:r>
                    <w:rPr>
                      <w:rFonts w:hint="default"/>
                    </w:rPr>
                    <w:t>水文要素影响型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一级 □；二级 □；三级A □；三级B √</w:t>
                  </w:r>
                </w:p>
              </w:tc>
              <w:tc>
                <w:tcPr>
                  <w:tcW w:w="3392" w:type="dxa"/>
                  <w:gridSpan w:val="5"/>
                  <w:noWrap w:val="0"/>
                  <w:vAlign w:val="center"/>
                </w:tcPr>
                <w:p>
                  <w:pPr>
                    <w:widowControl w:val="0"/>
                    <w:autoSpaceDE w:val="0"/>
                    <w:autoSpaceDN w:val="0"/>
                    <w:adjustRightInd w:val="0"/>
                    <w:jc w:val="left"/>
                    <w:rPr>
                      <w:rFonts w:hint="default"/>
                    </w:rPr>
                  </w:pPr>
                  <w:r>
                    <w:rPr>
                      <w:rFonts w:hint="default"/>
                    </w:rPr>
                    <w:t>一级 □；二级 □；三级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现状调查</w:t>
                  </w:r>
                </w:p>
              </w:tc>
              <w:tc>
                <w:tcPr>
                  <w:tcW w:w="909" w:type="dxa"/>
                  <w:vMerge w:val="restart"/>
                  <w:noWrap w:val="0"/>
                  <w:vAlign w:val="center"/>
                </w:tcPr>
                <w:p>
                  <w:pPr>
                    <w:widowControl w:val="0"/>
                    <w:autoSpaceDE w:val="0"/>
                    <w:autoSpaceDN w:val="0"/>
                    <w:adjustRightInd w:val="0"/>
                    <w:jc w:val="center"/>
                    <w:rPr>
                      <w:rFonts w:hint="default"/>
                    </w:rPr>
                  </w:pPr>
                  <w:r>
                    <w:rPr>
                      <w:rFonts w:hint="default"/>
                    </w:rPr>
                    <w:t>区域污染源</w:t>
                  </w:r>
                </w:p>
              </w:tc>
              <w:tc>
                <w:tcPr>
                  <w:tcW w:w="4007" w:type="dxa"/>
                  <w:gridSpan w:val="5"/>
                  <w:tcBorders>
                    <w:bottom w:val="single" w:color="auto" w:sz="4" w:space="0"/>
                  </w:tcBorders>
                  <w:noWrap w:val="0"/>
                  <w:vAlign w:val="center"/>
                </w:tcPr>
                <w:p>
                  <w:pPr>
                    <w:widowControl w:val="0"/>
                    <w:autoSpaceDE w:val="0"/>
                    <w:autoSpaceDN w:val="0"/>
                    <w:adjustRightInd w:val="0"/>
                    <w:jc w:val="center"/>
                    <w:rPr>
                      <w:rFonts w:hint="default"/>
                    </w:rPr>
                  </w:pPr>
                  <w:r>
                    <w:rPr>
                      <w:rFonts w:hint="default"/>
                    </w:rPr>
                    <w:t>调查项目</w:t>
                  </w:r>
                </w:p>
              </w:tc>
              <w:tc>
                <w:tcPr>
                  <w:tcW w:w="3392" w:type="dxa"/>
                  <w:gridSpan w:val="5"/>
                  <w:noWrap w:val="0"/>
                  <w:vAlign w:val="center"/>
                </w:tcPr>
                <w:p>
                  <w:pPr>
                    <w:widowControl w:val="0"/>
                    <w:autoSpaceDE w:val="0"/>
                    <w:autoSpaceDN w:val="0"/>
                    <w:adjustRightInd w:val="0"/>
                    <w:jc w:val="center"/>
                    <w:rPr>
                      <w:rFonts w:hint="default"/>
                    </w:rPr>
                  </w:pPr>
                  <w:r>
                    <w:rPr>
                      <w:rFonts w:hint="default"/>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tcBorders>
                    <w:right w:val="single" w:color="auto" w:sz="4" w:space="0"/>
                  </w:tcBorders>
                  <w:noWrap w:val="0"/>
                  <w:vAlign w:val="center"/>
                </w:tcPr>
                <w:p>
                  <w:pPr>
                    <w:widowControl w:val="0"/>
                    <w:jc w:val="center"/>
                    <w:rPr>
                      <w:rFonts w:hint="default"/>
                    </w:rPr>
                  </w:pP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adjustRightInd w:val="0"/>
                    <w:jc w:val="both"/>
                    <w:rPr>
                      <w:rFonts w:hint="default"/>
                    </w:rPr>
                  </w:pPr>
                  <w:r>
                    <w:rPr>
                      <w:rFonts w:hint="default"/>
                    </w:rPr>
                    <w:t>已建 □；在建 □；</w:t>
                  </w:r>
                </w:p>
                <w:p>
                  <w:pPr>
                    <w:widowControl w:val="0"/>
                    <w:autoSpaceDE w:val="0"/>
                    <w:autoSpaceDN w:val="0"/>
                    <w:adjustRightInd w:val="0"/>
                    <w:jc w:val="both"/>
                    <w:rPr>
                      <w:rFonts w:hint="default"/>
                    </w:rPr>
                  </w:pPr>
                  <w:r>
                    <w:rPr>
                      <w:rFonts w:hint="default"/>
                    </w:rPr>
                    <w:t>拟建 □；其他 □</w:t>
                  </w:r>
                </w:p>
              </w:tc>
              <w:tc>
                <w:tcPr>
                  <w:tcW w:w="2099"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adjustRightInd w:val="0"/>
                    <w:jc w:val="left"/>
                    <w:rPr>
                      <w:rFonts w:hint="default"/>
                    </w:rPr>
                  </w:pPr>
                  <w:r>
                    <w:rPr>
                      <w:rFonts w:hint="default"/>
                    </w:rPr>
                    <w:t>拟替代的污染源 □</w:t>
                  </w:r>
                </w:p>
              </w:tc>
              <w:tc>
                <w:tcPr>
                  <w:tcW w:w="3392" w:type="dxa"/>
                  <w:gridSpan w:val="5"/>
                  <w:tcBorders>
                    <w:left w:val="single" w:color="auto" w:sz="4" w:space="0"/>
                  </w:tcBorders>
                  <w:noWrap w:val="0"/>
                  <w:vAlign w:val="center"/>
                </w:tcPr>
                <w:p>
                  <w:pPr>
                    <w:widowControl w:val="0"/>
                    <w:autoSpaceDE w:val="0"/>
                    <w:autoSpaceDN w:val="0"/>
                    <w:adjustRightInd w:val="0"/>
                    <w:jc w:val="left"/>
                    <w:rPr>
                      <w:rFonts w:hint="default"/>
                    </w:rPr>
                  </w:pPr>
                  <w:r>
                    <w:rPr>
                      <w:rFonts w:hint="default"/>
                    </w:rPr>
                    <w:t>排污许可证 □；环评 □；</w:t>
                  </w:r>
                </w:p>
                <w:p>
                  <w:pPr>
                    <w:widowControl w:val="0"/>
                    <w:autoSpaceDE w:val="0"/>
                    <w:autoSpaceDN w:val="0"/>
                    <w:adjustRightInd w:val="0"/>
                    <w:jc w:val="left"/>
                    <w:rPr>
                      <w:rFonts w:hint="default"/>
                    </w:rPr>
                  </w:pPr>
                  <w:r>
                    <w:rPr>
                      <w:rFonts w:hint="default"/>
                    </w:rPr>
                    <w:t>环保验收 □；既有实测 □；</w:t>
                  </w:r>
                </w:p>
                <w:p>
                  <w:pPr>
                    <w:widowControl w:val="0"/>
                    <w:autoSpaceDE w:val="0"/>
                    <w:autoSpaceDN w:val="0"/>
                    <w:adjustRightInd w:val="0"/>
                    <w:jc w:val="left"/>
                    <w:rPr>
                      <w:rFonts w:hint="default"/>
                    </w:rPr>
                  </w:pPr>
                  <w:r>
                    <w:rPr>
                      <w:rFonts w:hint="default"/>
                    </w:rPr>
                    <w:t>现场监测 □；入河排放口数据□；</w:t>
                  </w:r>
                </w:p>
                <w:p>
                  <w:pPr>
                    <w:widowControl w:val="0"/>
                    <w:autoSpaceDE w:val="0"/>
                    <w:autoSpaceDN w:val="0"/>
                    <w:adjustRightInd w:val="0"/>
                    <w:jc w:val="left"/>
                    <w:rPr>
                      <w:rFonts w:hint="default"/>
                    </w:rPr>
                  </w:pPr>
                  <w:r>
                    <w:rPr>
                      <w:rFonts w:hint="default"/>
                    </w:rPr>
                    <w:t>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受影响水体水环境质量</w:t>
                  </w:r>
                </w:p>
              </w:tc>
              <w:tc>
                <w:tcPr>
                  <w:tcW w:w="4007" w:type="dxa"/>
                  <w:gridSpan w:val="5"/>
                  <w:tcBorders>
                    <w:top w:val="single" w:color="auto" w:sz="4" w:space="0"/>
                  </w:tcBorders>
                  <w:noWrap w:val="0"/>
                  <w:vAlign w:val="center"/>
                </w:tcPr>
                <w:p>
                  <w:pPr>
                    <w:widowControl w:val="0"/>
                    <w:autoSpaceDE w:val="0"/>
                    <w:autoSpaceDN w:val="0"/>
                    <w:adjustRightInd w:val="0"/>
                    <w:jc w:val="center"/>
                    <w:rPr>
                      <w:rFonts w:hint="default"/>
                    </w:rPr>
                  </w:pPr>
                  <w:r>
                    <w:rPr>
                      <w:rFonts w:hint="default"/>
                    </w:rPr>
                    <w:t>调查时期</w:t>
                  </w:r>
                </w:p>
              </w:tc>
              <w:tc>
                <w:tcPr>
                  <w:tcW w:w="3392" w:type="dxa"/>
                  <w:gridSpan w:val="5"/>
                  <w:noWrap w:val="0"/>
                  <w:vAlign w:val="center"/>
                </w:tcPr>
                <w:p>
                  <w:pPr>
                    <w:widowControl w:val="0"/>
                    <w:autoSpaceDE w:val="0"/>
                    <w:autoSpaceDN w:val="0"/>
                    <w:adjustRightInd w:val="0"/>
                    <w:jc w:val="center"/>
                    <w:rPr>
                      <w:rFonts w:hint="default"/>
                    </w:rPr>
                  </w:pPr>
                  <w:r>
                    <w:rPr>
                      <w:rFonts w:hint="default"/>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丰水期 □；平水期 □；枯水期 □；</w:t>
                  </w:r>
                </w:p>
                <w:p>
                  <w:pPr>
                    <w:widowControl w:val="0"/>
                    <w:autoSpaceDE w:val="0"/>
                    <w:autoSpaceDN w:val="0"/>
                    <w:adjustRightInd w:val="0"/>
                    <w:jc w:val="left"/>
                    <w:rPr>
                      <w:rFonts w:hint="default"/>
                      <w:lang w:eastAsia="zh-CN"/>
                    </w:rPr>
                  </w:pPr>
                  <w:r>
                    <w:rPr>
                      <w:rFonts w:hint="default"/>
                    </w:rPr>
                    <w:t xml:space="preserve">冰封期 □春季 □；夏季 </w:t>
                  </w:r>
                  <w:r>
                    <w:rPr>
                      <w:rFonts w:hint="default"/>
                      <w:lang w:eastAsia="zh-CN"/>
                    </w:rPr>
                    <w:t>□</w:t>
                  </w:r>
                  <w:r>
                    <w:rPr>
                      <w:rFonts w:hint="default"/>
                    </w:rPr>
                    <w:t xml:space="preserve">；秋季 □；冬季 </w:t>
                  </w:r>
                  <w:r>
                    <w:rPr>
                      <w:rFonts w:hint="eastAsia"/>
                      <w:lang w:eastAsia="zh-CN"/>
                    </w:rPr>
                    <w:t>□</w:t>
                  </w:r>
                </w:p>
              </w:tc>
              <w:tc>
                <w:tcPr>
                  <w:tcW w:w="3392" w:type="dxa"/>
                  <w:gridSpan w:val="5"/>
                  <w:noWrap w:val="0"/>
                  <w:vAlign w:val="center"/>
                </w:tcPr>
                <w:p>
                  <w:pPr>
                    <w:widowControl w:val="0"/>
                    <w:autoSpaceDE w:val="0"/>
                    <w:autoSpaceDN w:val="0"/>
                    <w:adjustRightInd w:val="0"/>
                    <w:jc w:val="left"/>
                    <w:rPr>
                      <w:rFonts w:hint="default"/>
                    </w:rPr>
                  </w:pPr>
                  <w:r>
                    <w:rPr>
                      <w:rFonts w:hint="default"/>
                    </w:rPr>
                    <w:t>生态环境保护主管部门 □；</w:t>
                  </w:r>
                </w:p>
                <w:p>
                  <w:pPr>
                    <w:widowControl w:val="0"/>
                    <w:autoSpaceDE w:val="0"/>
                    <w:autoSpaceDN w:val="0"/>
                    <w:adjustRightInd w:val="0"/>
                    <w:jc w:val="left"/>
                    <w:rPr>
                      <w:rFonts w:hint="default"/>
                    </w:rPr>
                  </w:pPr>
                  <w:r>
                    <w:rPr>
                      <w:rFonts w:hint="default"/>
                    </w:rPr>
                    <w:t xml:space="preserve">补充监测 □；其他 </w:t>
                  </w:r>
                  <w:r>
                    <w:rPr>
                      <w:rFonts w:hint="default"/>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区域水资源开发利用状况</w:t>
                  </w:r>
                </w:p>
              </w:tc>
              <w:tc>
                <w:tcPr>
                  <w:tcW w:w="7399" w:type="dxa"/>
                  <w:gridSpan w:val="10"/>
                  <w:noWrap w:val="0"/>
                  <w:vAlign w:val="center"/>
                </w:tcPr>
                <w:p>
                  <w:pPr>
                    <w:widowControl w:val="0"/>
                    <w:autoSpaceDE w:val="0"/>
                    <w:autoSpaceDN w:val="0"/>
                    <w:adjustRightInd w:val="0"/>
                    <w:jc w:val="left"/>
                    <w:rPr>
                      <w:rFonts w:hint="default"/>
                    </w:rPr>
                  </w:pPr>
                  <w:r>
                    <w:rPr>
                      <w:rFonts w:hint="default"/>
                    </w:rPr>
                    <w:t>未开发 □；开发量40%以下 □；开发量40%以上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水文情势调查</w:t>
                  </w:r>
                </w:p>
              </w:tc>
              <w:tc>
                <w:tcPr>
                  <w:tcW w:w="4007" w:type="dxa"/>
                  <w:gridSpan w:val="5"/>
                  <w:noWrap w:val="0"/>
                  <w:vAlign w:val="center"/>
                </w:tcPr>
                <w:p>
                  <w:pPr>
                    <w:widowControl w:val="0"/>
                    <w:autoSpaceDE w:val="0"/>
                    <w:autoSpaceDN w:val="0"/>
                    <w:adjustRightInd w:val="0"/>
                    <w:jc w:val="center"/>
                    <w:rPr>
                      <w:rFonts w:hint="default"/>
                    </w:rPr>
                  </w:pPr>
                  <w:r>
                    <w:rPr>
                      <w:rFonts w:hint="default"/>
                    </w:rPr>
                    <w:t>调查时期</w:t>
                  </w:r>
                </w:p>
              </w:tc>
              <w:tc>
                <w:tcPr>
                  <w:tcW w:w="3392" w:type="dxa"/>
                  <w:gridSpan w:val="5"/>
                  <w:noWrap w:val="0"/>
                  <w:vAlign w:val="center"/>
                </w:tcPr>
                <w:p>
                  <w:pPr>
                    <w:widowControl w:val="0"/>
                    <w:autoSpaceDE w:val="0"/>
                    <w:autoSpaceDN w:val="0"/>
                    <w:adjustRightInd w:val="0"/>
                    <w:jc w:val="center"/>
                    <w:rPr>
                      <w:rFonts w:hint="default"/>
                    </w:rPr>
                  </w:pPr>
                  <w:r>
                    <w:rPr>
                      <w:rFonts w:hint="default"/>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丰水期 □；平水期 □；枯水期 □；</w:t>
                  </w:r>
                </w:p>
                <w:p>
                  <w:pPr>
                    <w:widowControl w:val="0"/>
                    <w:autoSpaceDE w:val="0"/>
                    <w:autoSpaceDN w:val="0"/>
                    <w:adjustRightInd w:val="0"/>
                    <w:jc w:val="left"/>
                    <w:rPr>
                      <w:rFonts w:hint="default"/>
                    </w:rPr>
                  </w:pPr>
                  <w:r>
                    <w:rPr>
                      <w:rFonts w:hint="default"/>
                    </w:rPr>
                    <w:t>冰封期 □春季 □；夏季 □；秋季 □；冬季 □</w:t>
                  </w:r>
                </w:p>
              </w:tc>
              <w:tc>
                <w:tcPr>
                  <w:tcW w:w="3392" w:type="dxa"/>
                  <w:gridSpan w:val="5"/>
                  <w:noWrap w:val="0"/>
                  <w:vAlign w:val="center"/>
                </w:tcPr>
                <w:p>
                  <w:pPr>
                    <w:widowControl w:val="0"/>
                    <w:autoSpaceDE w:val="0"/>
                    <w:autoSpaceDN w:val="0"/>
                    <w:adjustRightInd w:val="0"/>
                    <w:jc w:val="left"/>
                    <w:rPr>
                      <w:rFonts w:hint="default"/>
                    </w:rPr>
                  </w:pPr>
                  <w:r>
                    <w:rPr>
                      <w:rFonts w:hint="default"/>
                    </w:rPr>
                    <w:t>水行政主管部门 □；</w:t>
                  </w:r>
                </w:p>
                <w:p>
                  <w:pPr>
                    <w:widowControl w:val="0"/>
                    <w:autoSpaceDE w:val="0"/>
                    <w:autoSpaceDN w:val="0"/>
                    <w:adjustRightInd w:val="0"/>
                    <w:jc w:val="left"/>
                    <w:rPr>
                      <w:rFonts w:hint="default"/>
                    </w:rPr>
                  </w:pPr>
                  <w:r>
                    <w:rPr>
                      <w:rFonts w:hint="default"/>
                    </w:rPr>
                    <w:t>补充监测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补充监测</w:t>
                  </w:r>
                </w:p>
              </w:tc>
              <w:tc>
                <w:tcPr>
                  <w:tcW w:w="4007" w:type="dxa"/>
                  <w:gridSpan w:val="5"/>
                  <w:noWrap w:val="0"/>
                  <w:vAlign w:val="center"/>
                </w:tcPr>
                <w:p>
                  <w:pPr>
                    <w:widowControl w:val="0"/>
                    <w:autoSpaceDE w:val="0"/>
                    <w:autoSpaceDN w:val="0"/>
                    <w:adjustRightInd w:val="0"/>
                    <w:jc w:val="center"/>
                    <w:rPr>
                      <w:rFonts w:hint="default"/>
                    </w:rPr>
                  </w:pPr>
                  <w:r>
                    <w:rPr>
                      <w:rFonts w:hint="default"/>
                    </w:rPr>
                    <w:t>监测时期</w:t>
                  </w:r>
                </w:p>
              </w:tc>
              <w:tc>
                <w:tcPr>
                  <w:tcW w:w="1357" w:type="dxa"/>
                  <w:gridSpan w:val="3"/>
                  <w:noWrap w:val="0"/>
                  <w:vAlign w:val="center"/>
                </w:tcPr>
                <w:p>
                  <w:pPr>
                    <w:widowControl w:val="0"/>
                    <w:autoSpaceDE w:val="0"/>
                    <w:autoSpaceDN w:val="0"/>
                    <w:adjustRightInd w:val="0"/>
                    <w:jc w:val="center"/>
                    <w:rPr>
                      <w:rFonts w:hint="default"/>
                    </w:rPr>
                  </w:pPr>
                  <w:r>
                    <w:rPr>
                      <w:rFonts w:hint="default"/>
                    </w:rPr>
                    <w:t>监测因子</w:t>
                  </w:r>
                </w:p>
              </w:tc>
              <w:tc>
                <w:tcPr>
                  <w:tcW w:w="2035" w:type="dxa"/>
                  <w:gridSpan w:val="2"/>
                  <w:noWrap w:val="0"/>
                  <w:vAlign w:val="center"/>
                </w:tcPr>
                <w:p>
                  <w:pPr>
                    <w:widowControl w:val="0"/>
                    <w:autoSpaceDE w:val="0"/>
                    <w:autoSpaceDN w:val="0"/>
                    <w:adjustRightInd w:val="0"/>
                    <w:jc w:val="center"/>
                    <w:rPr>
                      <w:rFonts w:hint="default"/>
                    </w:rPr>
                  </w:pPr>
                  <w:r>
                    <w:rPr>
                      <w:rFonts w:hint="default"/>
                    </w:rPr>
                    <w:t>监测断面或点位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丰水期 □；平水期 □；枯水期 □；</w:t>
                  </w:r>
                </w:p>
                <w:p>
                  <w:pPr>
                    <w:widowControl w:val="0"/>
                    <w:autoSpaceDE w:val="0"/>
                    <w:autoSpaceDN w:val="0"/>
                    <w:adjustRightInd w:val="0"/>
                    <w:jc w:val="left"/>
                    <w:rPr>
                      <w:rFonts w:hint="default"/>
                    </w:rPr>
                  </w:pPr>
                  <w:r>
                    <w:rPr>
                      <w:rFonts w:hint="default"/>
                    </w:rPr>
                    <w:t>冰封期 □春季 □；夏季 □；秋季 □；冬季 □</w:t>
                  </w:r>
                </w:p>
              </w:tc>
              <w:tc>
                <w:tcPr>
                  <w:tcW w:w="1357" w:type="dxa"/>
                  <w:gridSpan w:val="3"/>
                  <w:noWrap w:val="0"/>
                  <w:vAlign w:val="center"/>
                </w:tcPr>
                <w:p>
                  <w:pPr>
                    <w:widowControl w:val="0"/>
                    <w:jc w:val="left"/>
                    <w:rPr>
                      <w:rFonts w:hint="default"/>
                    </w:rPr>
                  </w:pPr>
                </w:p>
              </w:tc>
              <w:tc>
                <w:tcPr>
                  <w:tcW w:w="2035" w:type="dxa"/>
                  <w:gridSpan w:val="2"/>
                  <w:noWrap w:val="0"/>
                  <w:vAlign w:val="center"/>
                </w:tcPr>
                <w:p>
                  <w:pPr>
                    <w:widowControl w:val="0"/>
                    <w:autoSpaceDE w:val="0"/>
                    <w:autoSpaceDN w:val="0"/>
                    <w:adjustRightInd w:val="0"/>
                    <w:jc w:val="left"/>
                    <w:rPr>
                      <w:rFonts w:hint="default"/>
                    </w:rPr>
                  </w:pPr>
                  <w:r>
                    <w:rPr>
                      <w:rFonts w:hint="default"/>
                    </w:rPr>
                    <w:t>监测断面或点位个数（）个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现状评价</w:t>
                  </w:r>
                </w:p>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评价范围</w:t>
                  </w:r>
                </w:p>
              </w:tc>
              <w:tc>
                <w:tcPr>
                  <w:tcW w:w="7399" w:type="dxa"/>
                  <w:gridSpan w:val="10"/>
                  <w:noWrap w:val="0"/>
                  <w:vAlign w:val="center"/>
                </w:tcPr>
                <w:p>
                  <w:pPr>
                    <w:widowControl w:val="0"/>
                    <w:autoSpaceDE w:val="0"/>
                    <w:autoSpaceDN w:val="0"/>
                    <w:adjustRightInd w:val="0"/>
                    <w:jc w:val="left"/>
                    <w:rPr>
                      <w:rFonts w:hint="default"/>
                    </w:rPr>
                  </w:pPr>
                  <w:r>
                    <w:rPr>
                      <w:rFonts w:hint="default"/>
                    </w:rPr>
                    <w:t>河流：长度（）km；湖库、河口及近岸海域：面积（）km</w:t>
                  </w:r>
                  <w:r>
                    <w:rPr>
                      <w:rFonts w:hint="default"/>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评价因子</w:t>
                  </w:r>
                </w:p>
              </w:tc>
              <w:tc>
                <w:tcPr>
                  <w:tcW w:w="7399" w:type="dxa"/>
                  <w:gridSpan w:val="10"/>
                  <w:noWrap w:val="0"/>
                  <w:vAlign w:val="center"/>
                </w:tcPr>
                <w:p>
                  <w:pPr>
                    <w:widowControl w:val="0"/>
                    <w:jc w:val="left"/>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评价标准</w:t>
                  </w:r>
                </w:p>
              </w:tc>
              <w:tc>
                <w:tcPr>
                  <w:tcW w:w="7399" w:type="dxa"/>
                  <w:gridSpan w:val="10"/>
                  <w:noWrap w:val="0"/>
                  <w:vAlign w:val="center"/>
                </w:tcPr>
                <w:p>
                  <w:pPr>
                    <w:widowControl w:val="0"/>
                    <w:autoSpaceDE w:val="0"/>
                    <w:autoSpaceDN w:val="0"/>
                    <w:adjustRightInd w:val="0"/>
                    <w:jc w:val="left"/>
                    <w:rPr>
                      <w:rFonts w:hint="default"/>
                    </w:rPr>
                  </w:pPr>
                  <w:r>
                    <w:rPr>
                      <w:rFonts w:hint="default"/>
                    </w:rPr>
                    <w:t xml:space="preserve">河流、湖库、河口：Ⅰ类 □；Ⅱ类 □；Ⅲ类 </w:t>
                  </w:r>
                  <w:r>
                    <w:rPr>
                      <w:rFonts w:hint="eastAsia"/>
                      <w:lang w:eastAsia="zh-CN"/>
                    </w:rPr>
                    <w:t>□</w:t>
                  </w:r>
                  <w:r>
                    <w:rPr>
                      <w:rFonts w:hint="default"/>
                    </w:rPr>
                    <w:t>；Ⅳ类□ ；Ⅴ类 □</w:t>
                  </w:r>
                </w:p>
                <w:p>
                  <w:pPr>
                    <w:widowControl w:val="0"/>
                    <w:autoSpaceDE w:val="0"/>
                    <w:autoSpaceDN w:val="0"/>
                    <w:adjustRightInd w:val="0"/>
                    <w:jc w:val="left"/>
                    <w:rPr>
                      <w:rFonts w:hint="default"/>
                    </w:rPr>
                  </w:pPr>
                  <w:r>
                    <w:rPr>
                      <w:rFonts w:hint="default"/>
                    </w:rPr>
                    <w:t>近岸海域：第一类 □；第二类 □；第三类 □；第四类 □</w:t>
                  </w:r>
                </w:p>
                <w:p>
                  <w:pPr>
                    <w:widowControl w:val="0"/>
                    <w:jc w:val="left"/>
                    <w:rPr>
                      <w:rFonts w:hint="default"/>
                    </w:rPr>
                  </w:pPr>
                  <w:r>
                    <w:rPr>
                      <w:rFonts w:hint="default"/>
                    </w:rPr>
                    <w:t>规划年评价标准（）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评价时期</w:t>
                  </w:r>
                </w:p>
              </w:tc>
              <w:tc>
                <w:tcPr>
                  <w:tcW w:w="7399" w:type="dxa"/>
                  <w:gridSpan w:val="10"/>
                  <w:noWrap w:val="0"/>
                  <w:vAlign w:val="center"/>
                </w:tcPr>
                <w:p>
                  <w:pPr>
                    <w:widowControl w:val="0"/>
                    <w:autoSpaceDE w:val="0"/>
                    <w:autoSpaceDN w:val="0"/>
                    <w:adjustRightInd w:val="0"/>
                    <w:jc w:val="left"/>
                    <w:rPr>
                      <w:rFonts w:hint="default"/>
                      <w:lang w:eastAsia="zh-CN"/>
                    </w:rPr>
                  </w:pPr>
                  <w:r>
                    <w:rPr>
                      <w:rFonts w:hint="default"/>
                    </w:rPr>
                    <w:t xml:space="preserve">丰水期 □；平水期 □；枯水期 □；冰封期 □春季 □；夏季 □；秋季 □；冬季 </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评价结论</w:t>
                  </w:r>
                </w:p>
              </w:tc>
              <w:tc>
                <w:tcPr>
                  <w:tcW w:w="5364" w:type="dxa"/>
                  <w:gridSpan w:val="8"/>
                  <w:noWrap w:val="0"/>
                  <w:vAlign w:val="center"/>
                </w:tcPr>
                <w:p>
                  <w:pPr>
                    <w:widowControl w:val="0"/>
                    <w:autoSpaceDE w:val="0"/>
                    <w:autoSpaceDN w:val="0"/>
                    <w:adjustRightInd w:val="0"/>
                    <w:jc w:val="both"/>
                    <w:rPr>
                      <w:rFonts w:hint="default"/>
                      <w:lang w:eastAsia="zh-CN"/>
                    </w:rPr>
                  </w:pPr>
                  <w:r>
                    <w:rPr>
                      <w:rFonts w:hint="default"/>
                    </w:rPr>
                    <w:t xml:space="preserve">水环境功能区或水功能区、近岸海域环境功能区水质达标状况 ：达标 □；不达标 </w:t>
                  </w:r>
                  <w:r>
                    <w:rPr>
                      <w:rFonts w:hint="default"/>
                      <w:lang w:eastAsia="zh-CN"/>
                    </w:rPr>
                    <w:t>□</w:t>
                  </w:r>
                </w:p>
                <w:p>
                  <w:pPr>
                    <w:widowControl w:val="0"/>
                    <w:autoSpaceDE w:val="0"/>
                    <w:autoSpaceDN w:val="0"/>
                    <w:adjustRightInd w:val="0"/>
                    <w:jc w:val="both"/>
                    <w:rPr>
                      <w:rFonts w:hint="default"/>
                      <w:lang w:eastAsia="zh-CN"/>
                    </w:rPr>
                  </w:pPr>
                  <w:r>
                    <w:rPr>
                      <w:rFonts w:hint="default"/>
                    </w:rPr>
                    <w:t xml:space="preserve">水环境控制单元或断面水质达标状况 ：达标 □；不达标 </w:t>
                  </w:r>
                  <w:r>
                    <w:rPr>
                      <w:rFonts w:hint="eastAsia"/>
                      <w:lang w:eastAsia="zh-CN"/>
                    </w:rPr>
                    <w:t>□</w:t>
                  </w:r>
                </w:p>
                <w:p>
                  <w:pPr>
                    <w:widowControl w:val="0"/>
                    <w:autoSpaceDE w:val="0"/>
                    <w:autoSpaceDN w:val="0"/>
                    <w:adjustRightInd w:val="0"/>
                    <w:jc w:val="both"/>
                    <w:rPr>
                      <w:rFonts w:hint="default"/>
                    </w:rPr>
                  </w:pPr>
                  <w:r>
                    <w:rPr>
                      <w:rFonts w:hint="default"/>
                    </w:rPr>
                    <w:t>水环境保护目标质量状况：达标 □；不达标 □</w:t>
                  </w:r>
                </w:p>
                <w:p>
                  <w:pPr>
                    <w:widowControl w:val="0"/>
                    <w:autoSpaceDE w:val="0"/>
                    <w:autoSpaceDN w:val="0"/>
                    <w:adjustRightInd w:val="0"/>
                    <w:jc w:val="both"/>
                    <w:rPr>
                      <w:rFonts w:hint="default"/>
                    </w:rPr>
                  </w:pPr>
                  <w:r>
                    <w:rPr>
                      <w:rFonts w:hint="default"/>
                    </w:rPr>
                    <w:t>对照断面、控制断面等代表性断面的水质状况：达标 □；不达标 □</w:t>
                  </w:r>
                </w:p>
                <w:p>
                  <w:pPr>
                    <w:widowControl w:val="0"/>
                    <w:jc w:val="both"/>
                    <w:rPr>
                      <w:rFonts w:hint="default"/>
                    </w:rPr>
                  </w:pPr>
                  <w:r>
                    <w:rPr>
                      <w:rFonts w:hint="default"/>
                    </w:rPr>
                    <w:t>底泥污染评价 □</w:t>
                  </w:r>
                </w:p>
                <w:p>
                  <w:pPr>
                    <w:widowControl w:val="0"/>
                    <w:jc w:val="both"/>
                    <w:rPr>
                      <w:rFonts w:hint="default"/>
                    </w:rPr>
                  </w:pPr>
                  <w:r>
                    <w:rPr>
                      <w:rFonts w:hint="default"/>
                    </w:rPr>
                    <w:t>水资源与开发利用程度及其水文情势评价 □</w:t>
                  </w:r>
                </w:p>
                <w:p>
                  <w:pPr>
                    <w:widowControl w:val="0"/>
                    <w:jc w:val="both"/>
                    <w:rPr>
                      <w:rFonts w:hint="default"/>
                    </w:rPr>
                  </w:pPr>
                  <w:r>
                    <w:rPr>
                      <w:rFonts w:hint="default"/>
                    </w:rPr>
                    <w:t>水环境质量回顾评价 □</w:t>
                  </w:r>
                </w:p>
                <w:p>
                  <w:pPr>
                    <w:widowControl w:val="0"/>
                    <w:jc w:val="both"/>
                    <w:rPr>
                      <w:rFonts w:hint="default"/>
                    </w:rPr>
                  </w:pPr>
                  <w:r>
                    <w:rPr>
                      <w:rFonts w:hint="default"/>
                    </w:rPr>
                    <w:t>流域（区域）水资源（包括水能资源）与开发利用总体状况、生态流量管理要求与现状满足程度、建设项目占用水域空间的水流状况与河湖演变状况 □</w:t>
                  </w:r>
                </w:p>
              </w:tc>
              <w:tc>
                <w:tcPr>
                  <w:tcW w:w="2035" w:type="dxa"/>
                  <w:gridSpan w:val="2"/>
                  <w:noWrap w:val="0"/>
                  <w:vAlign w:val="center"/>
                </w:tcPr>
                <w:p>
                  <w:pPr>
                    <w:widowControl w:val="0"/>
                    <w:autoSpaceDE w:val="0"/>
                    <w:autoSpaceDN w:val="0"/>
                    <w:adjustRightInd w:val="0"/>
                    <w:jc w:val="left"/>
                    <w:rPr>
                      <w:rFonts w:hint="default"/>
                    </w:rPr>
                  </w:pPr>
                  <w:r>
                    <w:rPr>
                      <w:rFonts w:hint="default"/>
                    </w:rPr>
                    <w:t>达标区 □</w:t>
                  </w:r>
                </w:p>
                <w:p>
                  <w:pPr>
                    <w:widowControl w:val="0"/>
                    <w:jc w:val="left"/>
                    <w:rPr>
                      <w:rFonts w:hint="default"/>
                    </w:rPr>
                  </w:pPr>
                  <w:r>
                    <w:rPr>
                      <w:rFonts w:hint="default"/>
                    </w:rPr>
                    <w:t>不达标区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影响预测</w:t>
                  </w:r>
                </w:p>
              </w:tc>
              <w:tc>
                <w:tcPr>
                  <w:tcW w:w="909" w:type="dxa"/>
                  <w:noWrap w:val="0"/>
                  <w:vAlign w:val="center"/>
                </w:tcPr>
                <w:p>
                  <w:pPr>
                    <w:widowControl w:val="0"/>
                    <w:autoSpaceDE w:val="0"/>
                    <w:autoSpaceDN w:val="0"/>
                    <w:adjustRightInd w:val="0"/>
                    <w:jc w:val="center"/>
                    <w:rPr>
                      <w:rFonts w:hint="default"/>
                    </w:rPr>
                  </w:pPr>
                  <w:r>
                    <w:rPr>
                      <w:rFonts w:hint="default"/>
                    </w:rPr>
                    <w:t>预测范围</w:t>
                  </w:r>
                </w:p>
              </w:tc>
              <w:tc>
                <w:tcPr>
                  <w:tcW w:w="7399" w:type="dxa"/>
                  <w:gridSpan w:val="10"/>
                  <w:noWrap w:val="0"/>
                  <w:vAlign w:val="center"/>
                </w:tcPr>
                <w:p>
                  <w:pPr>
                    <w:widowControl w:val="0"/>
                    <w:autoSpaceDE w:val="0"/>
                    <w:autoSpaceDN w:val="0"/>
                    <w:adjustRightInd w:val="0"/>
                    <w:jc w:val="left"/>
                    <w:rPr>
                      <w:rFonts w:hint="default"/>
                    </w:rPr>
                  </w:pPr>
                  <w:r>
                    <w:rPr>
                      <w:rFonts w:hint="default"/>
                    </w:rPr>
                    <w:t>河流：长度（）km；湖库、河口及近岸海域：面积（）km</w:t>
                  </w:r>
                  <w:r>
                    <w:rPr>
                      <w:rFonts w:hint="default"/>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预测因子</w:t>
                  </w:r>
                </w:p>
              </w:tc>
              <w:tc>
                <w:tcPr>
                  <w:tcW w:w="7399" w:type="dxa"/>
                  <w:gridSpan w:val="10"/>
                  <w:noWrap w:val="0"/>
                  <w:vAlign w:val="center"/>
                </w:tcPr>
                <w:p>
                  <w:pPr>
                    <w:widowControl w:val="0"/>
                    <w:jc w:val="center"/>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预测时期</w:t>
                  </w:r>
                </w:p>
              </w:tc>
              <w:tc>
                <w:tcPr>
                  <w:tcW w:w="7399" w:type="dxa"/>
                  <w:gridSpan w:val="10"/>
                  <w:noWrap w:val="0"/>
                  <w:vAlign w:val="center"/>
                </w:tcPr>
                <w:p>
                  <w:pPr>
                    <w:widowControl w:val="0"/>
                    <w:autoSpaceDE w:val="0"/>
                    <w:autoSpaceDN w:val="0"/>
                    <w:adjustRightInd w:val="0"/>
                    <w:jc w:val="left"/>
                    <w:rPr>
                      <w:rFonts w:hint="default"/>
                    </w:rPr>
                  </w:pPr>
                  <w:r>
                    <w:rPr>
                      <w:rFonts w:hint="default"/>
                    </w:rPr>
                    <w:t>丰水期 □；平水期 □；枯水期 □；冰封期 □</w:t>
                  </w:r>
                </w:p>
                <w:p>
                  <w:pPr>
                    <w:widowControl w:val="0"/>
                    <w:autoSpaceDE w:val="0"/>
                    <w:autoSpaceDN w:val="0"/>
                    <w:adjustRightInd w:val="0"/>
                    <w:jc w:val="left"/>
                    <w:rPr>
                      <w:rFonts w:hint="default"/>
                    </w:rPr>
                  </w:pPr>
                  <w:r>
                    <w:rPr>
                      <w:rFonts w:hint="default"/>
                    </w:rPr>
                    <w:t>春季 □；夏季 □；秋季 □；冬季 □设计水文条件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预测情景</w:t>
                  </w:r>
                </w:p>
              </w:tc>
              <w:tc>
                <w:tcPr>
                  <w:tcW w:w="7399" w:type="dxa"/>
                  <w:gridSpan w:val="10"/>
                  <w:noWrap w:val="0"/>
                  <w:vAlign w:val="center"/>
                </w:tcPr>
                <w:p>
                  <w:pPr>
                    <w:widowControl w:val="0"/>
                    <w:autoSpaceDE w:val="0"/>
                    <w:autoSpaceDN w:val="0"/>
                    <w:adjustRightInd w:val="0"/>
                    <w:jc w:val="left"/>
                    <w:rPr>
                      <w:rFonts w:hint="default"/>
                    </w:rPr>
                  </w:pPr>
                  <w:r>
                    <w:rPr>
                      <w:rFonts w:hint="default"/>
                    </w:rPr>
                    <w:t>建设期 □；生产运行期 □；服务期满后 □正常工况 □；非正常工况 □；</w:t>
                  </w:r>
                </w:p>
                <w:p>
                  <w:pPr>
                    <w:widowControl w:val="0"/>
                    <w:autoSpaceDE w:val="0"/>
                    <w:autoSpaceDN w:val="0"/>
                    <w:adjustRightInd w:val="0"/>
                    <w:jc w:val="left"/>
                    <w:rPr>
                      <w:rFonts w:hint="default"/>
                    </w:rPr>
                  </w:pPr>
                  <w:r>
                    <w:rPr>
                      <w:rFonts w:hint="default"/>
                    </w:rPr>
                    <w:t>污染控制和减缓措施方案 □；区（流）域环境质量改善目标要求情景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预测方法</w:t>
                  </w:r>
                </w:p>
              </w:tc>
              <w:tc>
                <w:tcPr>
                  <w:tcW w:w="7399" w:type="dxa"/>
                  <w:gridSpan w:val="10"/>
                  <w:noWrap w:val="0"/>
                  <w:vAlign w:val="center"/>
                </w:tcPr>
                <w:p>
                  <w:pPr>
                    <w:widowControl w:val="0"/>
                    <w:autoSpaceDE w:val="0"/>
                    <w:autoSpaceDN w:val="0"/>
                    <w:adjustRightInd w:val="0"/>
                    <w:jc w:val="left"/>
                    <w:rPr>
                      <w:rFonts w:hint="default"/>
                    </w:rPr>
                  </w:pPr>
                  <w:r>
                    <w:rPr>
                      <w:rFonts w:hint="default"/>
                    </w:rPr>
                    <w:t>数值解 □：解析解 □；其他 □</w:t>
                  </w:r>
                </w:p>
                <w:p>
                  <w:pPr>
                    <w:widowControl w:val="0"/>
                    <w:jc w:val="left"/>
                    <w:rPr>
                      <w:rFonts w:hint="default"/>
                    </w:rPr>
                  </w:pPr>
                  <w:r>
                    <w:rPr>
                      <w:rFonts w:hint="default"/>
                    </w:rPr>
                    <w:t>导则推荐模式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影响评价</w:t>
                  </w:r>
                </w:p>
              </w:tc>
              <w:tc>
                <w:tcPr>
                  <w:tcW w:w="909" w:type="dxa"/>
                  <w:noWrap w:val="0"/>
                  <w:vAlign w:val="center"/>
                </w:tcPr>
                <w:p>
                  <w:pPr>
                    <w:widowControl w:val="0"/>
                    <w:autoSpaceDE w:val="0"/>
                    <w:autoSpaceDN w:val="0"/>
                    <w:adjustRightInd w:val="0"/>
                    <w:jc w:val="center"/>
                    <w:rPr>
                      <w:rFonts w:hint="default"/>
                    </w:rPr>
                  </w:pPr>
                  <w:r>
                    <w:rPr>
                      <w:rFonts w:hint="default"/>
                    </w:rPr>
                    <w:t>水污染控制和水环境影响减缓措施有效性评价</w:t>
                  </w:r>
                </w:p>
              </w:tc>
              <w:tc>
                <w:tcPr>
                  <w:tcW w:w="7399" w:type="dxa"/>
                  <w:gridSpan w:val="10"/>
                  <w:noWrap w:val="0"/>
                  <w:vAlign w:val="center"/>
                </w:tcPr>
                <w:p>
                  <w:pPr>
                    <w:widowControl w:val="0"/>
                    <w:autoSpaceDE w:val="0"/>
                    <w:autoSpaceDN w:val="0"/>
                    <w:adjustRightInd w:val="0"/>
                    <w:jc w:val="both"/>
                    <w:rPr>
                      <w:rFonts w:hint="default"/>
                    </w:rPr>
                  </w:pPr>
                  <w:r>
                    <w:rPr>
                      <w:rFonts w:hint="default"/>
                    </w:rPr>
                    <w:t>区（流）域水环境质量改善目标 □；替代削减源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水环境影响评价</w:t>
                  </w:r>
                </w:p>
              </w:tc>
              <w:tc>
                <w:tcPr>
                  <w:tcW w:w="7399" w:type="dxa"/>
                  <w:gridSpan w:val="10"/>
                  <w:noWrap w:val="0"/>
                  <w:vAlign w:val="center"/>
                </w:tcPr>
                <w:p>
                  <w:pPr>
                    <w:widowControl w:val="0"/>
                    <w:autoSpaceDE w:val="0"/>
                    <w:autoSpaceDN w:val="0"/>
                    <w:adjustRightInd w:val="0"/>
                    <w:jc w:val="both"/>
                    <w:rPr>
                      <w:rFonts w:hint="default"/>
                    </w:rPr>
                  </w:pPr>
                  <w:r>
                    <w:rPr>
                      <w:rFonts w:hint="default"/>
                    </w:rPr>
                    <w:t>排放口混合区外满足水环境管理要求 □</w:t>
                  </w:r>
                </w:p>
                <w:p>
                  <w:pPr>
                    <w:widowControl w:val="0"/>
                    <w:autoSpaceDE w:val="0"/>
                    <w:autoSpaceDN w:val="0"/>
                    <w:adjustRightInd w:val="0"/>
                    <w:jc w:val="both"/>
                    <w:rPr>
                      <w:rFonts w:hint="default"/>
                    </w:rPr>
                  </w:pPr>
                  <w:r>
                    <w:rPr>
                      <w:rFonts w:hint="default"/>
                    </w:rPr>
                    <w:t>水环境功能区或水功能区、近岸海域环境功能区水质达标 □</w:t>
                  </w:r>
                </w:p>
                <w:p>
                  <w:pPr>
                    <w:widowControl w:val="0"/>
                    <w:autoSpaceDE w:val="0"/>
                    <w:autoSpaceDN w:val="0"/>
                    <w:adjustRightInd w:val="0"/>
                    <w:jc w:val="both"/>
                    <w:rPr>
                      <w:rFonts w:hint="default"/>
                    </w:rPr>
                  </w:pPr>
                  <w:r>
                    <w:rPr>
                      <w:rFonts w:hint="default"/>
                    </w:rPr>
                    <w:t>满足水环境保护目标水域水环境质量要求 □</w:t>
                  </w:r>
                </w:p>
                <w:p>
                  <w:pPr>
                    <w:widowControl w:val="0"/>
                    <w:autoSpaceDE w:val="0"/>
                    <w:autoSpaceDN w:val="0"/>
                    <w:adjustRightInd w:val="0"/>
                    <w:jc w:val="both"/>
                    <w:rPr>
                      <w:rFonts w:hint="default"/>
                    </w:rPr>
                  </w:pPr>
                  <w:r>
                    <w:rPr>
                      <w:rFonts w:hint="default"/>
                    </w:rPr>
                    <w:t>水环境控制单元或断面水质达标 □</w:t>
                  </w:r>
                </w:p>
                <w:p>
                  <w:pPr>
                    <w:widowControl w:val="0"/>
                    <w:autoSpaceDE w:val="0"/>
                    <w:autoSpaceDN w:val="0"/>
                    <w:adjustRightInd w:val="0"/>
                    <w:jc w:val="both"/>
                    <w:rPr>
                      <w:rFonts w:hint="default"/>
                    </w:rPr>
                  </w:pPr>
                  <w:r>
                    <w:rPr>
                      <w:rFonts w:hint="default"/>
                    </w:rPr>
                    <w:t>满足重点水污染物排放总量控制指标要求，重点行业建设项目，主要污染物排放满足等量或减量替代要求 □</w:t>
                  </w:r>
                </w:p>
                <w:p>
                  <w:pPr>
                    <w:widowControl w:val="0"/>
                    <w:jc w:val="both"/>
                    <w:rPr>
                      <w:rFonts w:hint="default"/>
                    </w:rPr>
                  </w:pPr>
                  <w:r>
                    <w:rPr>
                      <w:rFonts w:hint="default"/>
                    </w:rPr>
                    <w:t>满足区（流）域水环境质量改善目标要求 □</w:t>
                  </w:r>
                </w:p>
                <w:p>
                  <w:pPr>
                    <w:widowControl w:val="0"/>
                    <w:jc w:val="both"/>
                    <w:rPr>
                      <w:rFonts w:hint="default"/>
                    </w:rPr>
                  </w:pPr>
                  <w:r>
                    <w:rPr>
                      <w:rFonts w:hint="default"/>
                    </w:rPr>
                    <w:t>水文要素影响型建设项目同时应包括水文情势变化评价、主要水文特征值影响评价、生态流量符合性评价 □</w:t>
                  </w:r>
                </w:p>
                <w:p>
                  <w:pPr>
                    <w:widowControl w:val="0"/>
                    <w:jc w:val="both"/>
                    <w:rPr>
                      <w:rFonts w:hint="default"/>
                    </w:rPr>
                  </w:pPr>
                  <w:r>
                    <w:rPr>
                      <w:rFonts w:hint="default"/>
                    </w:rPr>
                    <w:t>对于新设或调整入河（湖库、近岸海域）排放口的建设项目，应包括排放口设置的环境合理性评价 □</w:t>
                  </w:r>
                </w:p>
                <w:p>
                  <w:pPr>
                    <w:widowControl w:val="0"/>
                    <w:jc w:val="both"/>
                    <w:rPr>
                      <w:rFonts w:hint="default"/>
                    </w:rPr>
                  </w:pPr>
                  <w:r>
                    <w:rPr>
                      <w:rFonts w:hint="default"/>
                    </w:rPr>
                    <w:t>满足生态保护红线、水环境质量底线、资源利用上线和环境准入清单管理要求□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污染源排放量核算</w:t>
                  </w:r>
                </w:p>
              </w:tc>
              <w:tc>
                <w:tcPr>
                  <w:tcW w:w="2246" w:type="dxa"/>
                  <w:gridSpan w:val="3"/>
                  <w:noWrap w:val="0"/>
                  <w:vAlign w:val="center"/>
                </w:tcPr>
                <w:p>
                  <w:pPr>
                    <w:widowControl w:val="0"/>
                    <w:autoSpaceDE w:val="0"/>
                    <w:autoSpaceDN w:val="0"/>
                    <w:adjustRightInd w:val="0"/>
                    <w:jc w:val="center"/>
                    <w:rPr>
                      <w:rFonts w:hint="default"/>
                    </w:rPr>
                  </w:pPr>
                  <w:r>
                    <w:rPr>
                      <w:rFonts w:hint="default"/>
                    </w:rPr>
                    <w:t>污染物名称</w:t>
                  </w:r>
                </w:p>
              </w:tc>
              <w:tc>
                <w:tcPr>
                  <w:tcW w:w="2958" w:type="dxa"/>
                  <w:gridSpan w:val="4"/>
                  <w:noWrap w:val="0"/>
                  <w:vAlign w:val="center"/>
                </w:tcPr>
                <w:p>
                  <w:pPr>
                    <w:widowControl w:val="0"/>
                    <w:autoSpaceDE w:val="0"/>
                    <w:autoSpaceDN w:val="0"/>
                    <w:adjustRightInd w:val="0"/>
                    <w:jc w:val="center"/>
                    <w:rPr>
                      <w:rFonts w:hint="default"/>
                    </w:rPr>
                  </w:pPr>
                  <w:r>
                    <w:rPr>
                      <w:rFonts w:hint="default"/>
                    </w:rPr>
                    <w:t>排放量/（t/a）</w:t>
                  </w:r>
                </w:p>
              </w:tc>
              <w:tc>
                <w:tcPr>
                  <w:tcW w:w="2195" w:type="dxa"/>
                  <w:gridSpan w:val="3"/>
                  <w:noWrap w:val="0"/>
                  <w:vAlign w:val="center"/>
                </w:tcPr>
                <w:p>
                  <w:pPr>
                    <w:widowControl w:val="0"/>
                    <w:autoSpaceDE w:val="0"/>
                    <w:autoSpaceDN w:val="0"/>
                    <w:adjustRightInd w:val="0"/>
                    <w:jc w:val="center"/>
                    <w:rPr>
                      <w:rFonts w:hint="default"/>
                    </w:rPr>
                  </w:pPr>
                  <w:r>
                    <w:rPr>
                      <w:rFonts w:hint="default"/>
                    </w:rPr>
                    <w:t>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2246" w:type="dxa"/>
                  <w:gridSpan w:val="3"/>
                  <w:noWrap w:val="0"/>
                  <w:vAlign w:val="center"/>
                </w:tcPr>
                <w:p>
                  <w:pPr>
                    <w:widowControl w:val="0"/>
                    <w:autoSpaceDE w:val="0"/>
                    <w:autoSpaceDN w:val="0"/>
                    <w:adjustRightInd w:val="0"/>
                    <w:jc w:val="center"/>
                    <w:rPr>
                      <w:rFonts w:hint="default"/>
                      <w:lang w:val="en-US" w:eastAsia="zh-CN"/>
                    </w:rPr>
                  </w:pPr>
                  <w:r>
                    <w:rPr>
                      <w:rFonts w:hint="eastAsia"/>
                      <w:lang w:val="en-US" w:eastAsia="zh-CN"/>
                    </w:rPr>
                    <w:t xml:space="preserve"> /</w:t>
                  </w:r>
                </w:p>
              </w:tc>
              <w:tc>
                <w:tcPr>
                  <w:tcW w:w="2958" w:type="dxa"/>
                  <w:gridSpan w:val="4"/>
                  <w:noWrap w:val="0"/>
                  <w:vAlign w:val="center"/>
                </w:tcPr>
                <w:p>
                  <w:pPr>
                    <w:widowControl w:val="0"/>
                    <w:autoSpaceDE w:val="0"/>
                    <w:autoSpaceDN w:val="0"/>
                    <w:adjustRightInd w:val="0"/>
                    <w:jc w:val="center"/>
                    <w:rPr>
                      <w:rFonts w:hint="eastAsia"/>
                      <w:lang w:val="en-US" w:eastAsia="zh-CN"/>
                    </w:rPr>
                  </w:pPr>
                  <w:r>
                    <w:rPr>
                      <w:rFonts w:hint="eastAsia"/>
                      <w:lang w:val="en-US" w:eastAsia="zh-CN"/>
                    </w:rPr>
                    <w:t xml:space="preserve">/ </w:t>
                  </w:r>
                </w:p>
              </w:tc>
              <w:tc>
                <w:tcPr>
                  <w:tcW w:w="2195" w:type="dxa"/>
                  <w:gridSpan w:val="3"/>
                  <w:noWrap w:val="0"/>
                  <w:vAlign w:val="center"/>
                </w:tcPr>
                <w:p>
                  <w:pPr>
                    <w:widowControl w:val="0"/>
                    <w:autoSpaceDE w:val="0"/>
                    <w:autoSpaceDN w:val="0"/>
                    <w:adjustRightInd w:val="0"/>
                    <w:jc w:val="center"/>
                    <w:rPr>
                      <w:rFonts w:hint="eastAsia"/>
                      <w:lang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替代源排放情况</w:t>
                  </w:r>
                </w:p>
              </w:tc>
              <w:tc>
                <w:tcPr>
                  <w:tcW w:w="2246" w:type="dxa"/>
                  <w:gridSpan w:val="3"/>
                  <w:noWrap w:val="0"/>
                  <w:vAlign w:val="center"/>
                </w:tcPr>
                <w:p>
                  <w:pPr>
                    <w:widowControl w:val="0"/>
                    <w:autoSpaceDE w:val="0"/>
                    <w:autoSpaceDN w:val="0"/>
                    <w:adjustRightInd w:val="0"/>
                    <w:jc w:val="center"/>
                    <w:rPr>
                      <w:rFonts w:hint="default"/>
                    </w:rPr>
                  </w:pPr>
                  <w:r>
                    <w:rPr>
                      <w:rFonts w:hint="default"/>
                    </w:rPr>
                    <w:t>污染源名称</w:t>
                  </w:r>
                </w:p>
              </w:tc>
              <w:tc>
                <w:tcPr>
                  <w:tcW w:w="1629" w:type="dxa"/>
                  <w:noWrap w:val="0"/>
                  <w:vAlign w:val="center"/>
                </w:tcPr>
                <w:p>
                  <w:pPr>
                    <w:widowControl w:val="0"/>
                    <w:autoSpaceDE w:val="0"/>
                    <w:autoSpaceDN w:val="0"/>
                    <w:adjustRightInd w:val="0"/>
                    <w:jc w:val="center"/>
                    <w:rPr>
                      <w:rFonts w:hint="default"/>
                    </w:rPr>
                  </w:pPr>
                  <w:r>
                    <w:rPr>
                      <w:rFonts w:hint="default"/>
                    </w:rPr>
                    <w:t>排污许可证编号</w:t>
                  </w:r>
                </w:p>
              </w:tc>
              <w:tc>
                <w:tcPr>
                  <w:tcW w:w="1329" w:type="dxa"/>
                  <w:gridSpan w:val="3"/>
                  <w:noWrap w:val="0"/>
                  <w:vAlign w:val="center"/>
                </w:tcPr>
                <w:p>
                  <w:pPr>
                    <w:widowControl w:val="0"/>
                    <w:autoSpaceDE w:val="0"/>
                    <w:autoSpaceDN w:val="0"/>
                    <w:adjustRightInd w:val="0"/>
                    <w:jc w:val="center"/>
                    <w:rPr>
                      <w:rFonts w:hint="default"/>
                    </w:rPr>
                  </w:pPr>
                  <w:r>
                    <w:rPr>
                      <w:rFonts w:hint="default"/>
                    </w:rPr>
                    <w:t>污染物名称</w:t>
                  </w:r>
                </w:p>
              </w:tc>
              <w:tc>
                <w:tcPr>
                  <w:tcW w:w="1091" w:type="dxa"/>
                  <w:gridSpan w:val="2"/>
                  <w:noWrap w:val="0"/>
                  <w:vAlign w:val="center"/>
                </w:tcPr>
                <w:p>
                  <w:pPr>
                    <w:widowControl w:val="0"/>
                    <w:autoSpaceDE w:val="0"/>
                    <w:autoSpaceDN w:val="0"/>
                    <w:adjustRightInd w:val="0"/>
                    <w:jc w:val="center"/>
                    <w:rPr>
                      <w:rFonts w:hint="default"/>
                    </w:rPr>
                  </w:pPr>
                  <w:r>
                    <w:rPr>
                      <w:rFonts w:hint="default"/>
                    </w:rPr>
                    <w:t>排放量/（t/a）</w:t>
                  </w:r>
                </w:p>
              </w:tc>
              <w:tc>
                <w:tcPr>
                  <w:tcW w:w="1104" w:type="dxa"/>
                  <w:noWrap w:val="0"/>
                  <w:vAlign w:val="center"/>
                </w:tcPr>
                <w:p>
                  <w:pPr>
                    <w:widowControl w:val="0"/>
                    <w:autoSpaceDE w:val="0"/>
                    <w:autoSpaceDN w:val="0"/>
                    <w:adjustRightInd w:val="0"/>
                    <w:jc w:val="center"/>
                    <w:rPr>
                      <w:rFonts w:hint="default"/>
                    </w:rPr>
                  </w:pPr>
                  <w:r>
                    <w:rPr>
                      <w:rFonts w:hint="default"/>
                    </w:rPr>
                    <w:t>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2246" w:type="dxa"/>
                  <w:gridSpan w:val="3"/>
                  <w:noWrap w:val="0"/>
                  <w:vAlign w:val="center"/>
                </w:tcPr>
                <w:p>
                  <w:pPr>
                    <w:widowControl w:val="0"/>
                    <w:jc w:val="center"/>
                    <w:rPr>
                      <w:rFonts w:hint="eastAsia"/>
                      <w:lang w:val="en-US" w:eastAsia="zh-CN"/>
                    </w:rPr>
                  </w:pPr>
                  <w:r>
                    <w:rPr>
                      <w:rFonts w:hint="eastAsia"/>
                      <w:lang w:val="en-US" w:eastAsia="zh-CN"/>
                    </w:rPr>
                    <w:t>/</w:t>
                  </w:r>
                </w:p>
              </w:tc>
              <w:tc>
                <w:tcPr>
                  <w:tcW w:w="1629" w:type="dxa"/>
                  <w:noWrap w:val="0"/>
                  <w:vAlign w:val="center"/>
                </w:tcPr>
                <w:p>
                  <w:pPr>
                    <w:widowControl w:val="0"/>
                    <w:jc w:val="center"/>
                    <w:rPr>
                      <w:rFonts w:hint="eastAsia"/>
                      <w:lang w:val="en-US" w:eastAsia="zh-CN"/>
                    </w:rPr>
                  </w:pPr>
                  <w:r>
                    <w:rPr>
                      <w:rFonts w:hint="eastAsia"/>
                      <w:lang w:val="en-US" w:eastAsia="zh-CN"/>
                    </w:rPr>
                    <w:t>/</w:t>
                  </w:r>
                </w:p>
              </w:tc>
              <w:tc>
                <w:tcPr>
                  <w:tcW w:w="1329" w:type="dxa"/>
                  <w:gridSpan w:val="3"/>
                  <w:noWrap w:val="0"/>
                  <w:vAlign w:val="center"/>
                </w:tcPr>
                <w:p>
                  <w:pPr>
                    <w:widowControl w:val="0"/>
                    <w:jc w:val="center"/>
                    <w:rPr>
                      <w:rFonts w:hint="eastAsia"/>
                      <w:lang w:val="en-US" w:eastAsia="zh-CN"/>
                    </w:rPr>
                  </w:pPr>
                  <w:r>
                    <w:rPr>
                      <w:rFonts w:hint="eastAsia"/>
                      <w:lang w:val="en-US" w:eastAsia="zh-CN"/>
                    </w:rPr>
                    <w:t>/</w:t>
                  </w:r>
                </w:p>
              </w:tc>
              <w:tc>
                <w:tcPr>
                  <w:tcW w:w="1091" w:type="dxa"/>
                  <w:gridSpan w:val="2"/>
                  <w:noWrap w:val="0"/>
                  <w:vAlign w:val="center"/>
                </w:tcPr>
                <w:p>
                  <w:pPr>
                    <w:widowControl w:val="0"/>
                    <w:jc w:val="center"/>
                    <w:rPr>
                      <w:rFonts w:hint="eastAsia"/>
                      <w:lang w:val="en-US" w:eastAsia="zh-CN"/>
                    </w:rPr>
                  </w:pPr>
                  <w:r>
                    <w:rPr>
                      <w:rFonts w:hint="eastAsia"/>
                      <w:lang w:val="en-US" w:eastAsia="zh-CN"/>
                    </w:rPr>
                    <w:t>/</w:t>
                  </w:r>
                </w:p>
              </w:tc>
              <w:tc>
                <w:tcPr>
                  <w:tcW w:w="1104" w:type="dxa"/>
                  <w:noWrap w:val="0"/>
                  <w:vAlign w:val="center"/>
                </w:tcPr>
                <w:p>
                  <w:pPr>
                    <w:widowControl w:val="0"/>
                    <w:jc w:val="center"/>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生态流量确定</w:t>
                  </w:r>
                </w:p>
              </w:tc>
              <w:tc>
                <w:tcPr>
                  <w:tcW w:w="7399" w:type="dxa"/>
                  <w:gridSpan w:val="10"/>
                  <w:noWrap w:val="0"/>
                  <w:vAlign w:val="center"/>
                </w:tcPr>
                <w:p>
                  <w:pPr>
                    <w:widowControl w:val="0"/>
                    <w:autoSpaceDE w:val="0"/>
                    <w:autoSpaceDN w:val="0"/>
                    <w:adjustRightInd w:val="0"/>
                    <w:jc w:val="left"/>
                    <w:rPr>
                      <w:rFonts w:hint="default"/>
                    </w:rPr>
                  </w:pPr>
                  <w:r>
                    <w:rPr>
                      <w:rFonts w:hint="default"/>
                    </w:rPr>
                    <w:t>生态流量：一般水期（）m</w:t>
                  </w:r>
                  <w:r>
                    <w:rPr>
                      <w:rFonts w:hint="default"/>
                      <w:vertAlign w:val="superscript"/>
                    </w:rPr>
                    <w:t>3</w:t>
                  </w:r>
                  <w:r>
                    <w:rPr>
                      <w:rFonts w:hint="default"/>
                    </w:rPr>
                    <w:t>/s；鱼类繁殖期（）m</w:t>
                  </w:r>
                  <w:r>
                    <w:rPr>
                      <w:rFonts w:hint="default"/>
                      <w:vertAlign w:val="superscript"/>
                    </w:rPr>
                    <w:t>3</w:t>
                  </w:r>
                  <w:r>
                    <w:rPr>
                      <w:rFonts w:hint="default"/>
                    </w:rPr>
                    <w:t>/s；其他（）m</w:t>
                  </w:r>
                  <w:r>
                    <w:rPr>
                      <w:rFonts w:hint="default"/>
                      <w:vertAlign w:val="superscript"/>
                    </w:rPr>
                    <w:t>3</w:t>
                  </w:r>
                  <w:r>
                    <w:rPr>
                      <w:rFonts w:hint="default"/>
                    </w:rPr>
                    <w:t>/s</w:t>
                  </w:r>
                </w:p>
                <w:p>
                  <w:pPr>
                    <w:widowControl w:val="0"/>
                    <w:jc w:val="left"/>
                    <w:rPr>
                      <w:rFonts w:hint="default"/>
                    </w:rPr>
                  </w:pPr>
                  <w:r>
                    <w:rPr>
                      <w:rFonts w:hint="default"/>
                    </w:rPr>
                    <w:t>生态水位：一般水期（）m；鱼类繁殖期（）m；其他（）m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防治措施</w:t>
                  </w:r>
                </w:p>
              </w:tc>
              <w:tc>
                <w:tcPr>
                  <w:tcW w:w="909" w:type="dxa"/>
                  <w:noWrap w:val="0"/>
                  <w:vAlign w:val="center"/>
                </w:tcPr>
                <w:p>
                  <w:pPr>
                    <w:widowControl w:val="0"/>
                    <w:autoSpaceDE w:val="0"/>
                    <w:autoSpaceDN w:val="0"/>
                    <w:adjustRightInd w:val="0"/>
                    <w:jc w:val="center"/>
                    <w:rPr>
                      <w:rFonts w:hint="default"/>
                    </w:rPr>
                  </w:pPr>
                  <w:r>
                    <w:rPr>
                      <w:rFonts w:hint="default"/>
                    </w:rPr>
                    <w:t>环保措施</w:t>
                  </w:r>
                </w:p>
              </w:tc>
              <w:tc>
                <w:tcPr>
                  <w:tcW w:w="7399" w:type="dxa"/>
                  <w:gridSpan w:val="10"/>
                  <w:noWrap w:val="0"/>
                  <w:vAlign w:val="center"/>
                </w:tcPr>
                <w:p>
                  <w:pPr>
                    <w:widowControl w:val="0"/>
                    <w:autoSpaceDE w:val="0"/>
                    <w:autoSpaceDN w:val="0"/>
                    <w:adjustRightInd w:val="0"/>
                    <w:jc w:val="left"/>
                    <w:rPr>
                      <w:rFonts w:hint="default"/>
                    </w:rPr>
                  </w:pPr>
                  <w:r>
                    <w:rPr>
                      <w:rFonts w:hint="default"/>
                    </w:rPr>
                    <w:t>污水处理设施 √；水文减缓设施 □；生态流量保障设施 □；区域削减 □；</w:t>
                  </w:r>
                </w:p>
                <w:p>
                  <w:pPr>
                    <w:widowControl w:val="0"/>
                    <w:autoSpaceDE w:val="0"/>
                    <w:autoSpaceDN w:val="0"/>
                    <w:adjustRightInd w:val="0"/>
                    <w:jc w:val="left"/>
                    <w:rPr>
                      <w:rFonts w:hint="default"/>
                    </w:rPr>
                  </w:pPr>
                  <w:r>
                    <w:rPr>
                      <w:rFonts w:hint="default"/>
                    </w:rPr>
                    <w:t>依托其他工程措施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监测计划</w:t>
                  </w:r>
                </w:p>
              </w:tc>
              <w:tc>
                <w:tcPr>
                  <w:tcW w:w="1149" w:type="dxa"/>
                  <w:noWrap w:val="0"/>
                  <w:vAlign w:val="center"/>
                </w:tcPr>
                <w:p>
                  <w:pPr>
                    <w:widowControl w:val="0"/>
                    <w:autoSpaceDE w:val="0"/>
                    <w:autoSpaceDN w:val="0"/>
                    <w:adjustRightInd w:val="0"/>
                    <w:jc w:val="center"/>
                    <w:rPr>
                      <w:rFonts w:hint="default"/>
                    </w:rPr>
                  </w:pPr>
                  <w:r>
                    <w:rPr>
                      <w:rFonts w:hint="default"/>
                    </w:rPr>
                    <w:t>/</w:t>
                  </w:r>
                </w:p>
              </w:tc>
              <w:tc>
                <w:tcPr>
                  <w:tcW w:w="2988" w:type="dxa"/>
                  <w:gridSpan w:val="5"/>
                  <w:noWrap w:val="0"/>
                  <w:vAlign w:val="center"/>
                </w:tcPr>
                <w:p>
                  <w:pPr>
                    <w:widowControl w:val="0"/>
                    <w:autoSpaceDE w:val="0"/>
                    <w:autoSpaceDN w:val="0"/>
                    <w:adjustRightInd w:val="0"/>
                    <w:jc w:val="center"/>
                    <w:rPr>
                      <w:rFonts w:hint="default"/>
                    </w:rPr>
                  </w:pPr>
                  <w:r>
                    <w:rPr>
                      <w:rFonts w:hint="default"/>
                    </w:rPr>
                    <w:t>环境质量</w:t>
                  </w:r>
                </w:p>
              </w:tc>
              <w:tc>
                <w:tcPr>
                  <w:tcW w:w="3262" w:type="dxa"/>
                  <w:gridSpan w:val="4"/>
                  <w:noWrap w:val="0"/>
                  <w:vAlign w:val="center"/>
                </w:tcPr>
                <w:p>
                  <w:pPr>
                    <w:widowControl w:val="0"/>
                    <w:autoSpaceDE w:val="0"/>
                    <w:autoSpaceDN w:val="0"/>
                    <w:adjustRightInd w:val="0"/>
                    <w:jc w:val="center"/>
                    <w:rPr>
                      <w:rFonts w:hint="default"/>
                    </w:rPr>
                  </w:pPr>
                  <w:r>
                    <w:rPr>
                      <w:rFonts w:hint="default"/>
                    </w:rPr>
                    <w:t>污染源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1149" w:type="dxa"/>
                  <w:noWrap w:val="0"/>
                  <w:vAlign w:val="center"/>
                </w:tcPr>
                <w:p>
                  <w:pPr>
                    <w:widowControl w:val="0"/>
                    <w:autoSpaceDE w:val="0"/>
                    <w:autoSpaceDN w:val="0"/>
                    <w:adjustRightInd w:val="0"/>
                    <w:jc w:val="center"/>
                    <w:rPr>
                      <w:rFonts w:hint="default"/>
                    </w:rPr>
                  </w:pPr>
                  <w:r>
                    <w:rPr>
                      <w:rFonts w:hint="default"/>
                    </w:rPr>
                    <w:t>监测方式</w:t>
                  </w:r>
                </w:p>
              </w:tc>
              <w:tc>
                <w:tcPr>
                  <w:tcW w:w="2988" w:type="dxa"/>
                  <w:gridSpan w:val="5"/>
                  <w:noWrap w:val="0"/>
                  <w:vAlign w:val="center"/>
                </w:tcPr>
                <w:p>
                  <w:pPr>
                    <w:widowControl w:val="0"/>
                    <w:autoSpaceDE w:val="0"/>
                    <w:autoSpaceDN w:val="0"/>
                    <w:adjustRightInd w:val="0"/>
                    <w:jc w:val="center"/>
                    <w:rPr>
                      <w:rFonts w:hint="default"/>
                    </w:rPr>
                  </w:pPr>
                  <w:r>
                    <w:rPr>
                      <w:rFonts w:hint="default"/>
                    </w:rPr>
                    <w:t>手动 □；自动 □；无监测 √</w:t>
                  </w:r>
                </w:p>
              </w:tc>
              <w:tc>
                <w:tcPr>
                  <w:tcW w:w="3262" w:type="dxa"/>
                  <w:gridSpan w:val="4"/>
                  <w:noWrap w:val="0"/>
                  <w:vAlign w:val="center"/>
                </w:tcPr>
                <w:p>
                  <w:pPr>
                    <w:widowControl w:val="0"/>
                    <w:autoSpaceDE w:val="0"/>
                    <w:autoSpaceDN w:val="0"/>
                    <w:adjustRightInd w:val="0"/>
                    <w:jc w:val="center"/>
                    <w:rPr>
                      <w:rFonts w:hint="default"/>
                    </w:rPr>
                  </w:pPr>
                  <w:r>
                    <w:rPr>
                      <w:rFonts w:hint="default"/>
                    </w:rPr>
                    <w:t xml:space="preserve">手动 □；自动 □；无监测 </w:t>
                  </w:r>
                  <w:r>
                    <w:rPr>
                      <w:rFonts w:hint="default"/>
                    </w:rPr>
                    <w:sym w:font="Wingdings 2" w:char="005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1149" w:type="dxa"/>
                  <w:noWrap w:val="0"/>
                  <w:vAlign w:val="center"/>
                </w:tcPr>
                <w:p>
                  <w:pPr>
                    <w:widowControl w:val="0"/>
                    <w:autoSpaceDE w:val="0"/>
                    <w:autoSpaceDN w:val="0"/>
                    <w:adjustRightInd w:val="0"/>
                    <w:jc w:val="center"/>
                    <w:rPr>
                      <w:rFonts w:hint="default"/>
                    </w:rPr>
                  </w:pPr>
                  <w:r>
                    <w:rPr>
                      <w:rFonts w:hint="default"/>
                    </w:rPr>
                    <w:t>监测点位</w:t>
                  </w:r>
                </w:p>
              </w:tc>
              <w:tc>
                <w:tcPr>
                  <w:tcW w:w="2988" w:type="dxa"/>
                  <w:gridSpan w:val="5"/>
                  <w:noWrap w:val="0"/>
                  <w:vAlign w:val="center"/>
                </w:tcPr>
                <w:p>
                  <w:pPr>
                    <w:widowControl w:val="0"/>
                    <w:autoSpaceDE w:val="0"/>
                    <w:autoSpaceDN w:val="0"/>
                    <w:adjustRightInd w:val="0"/>
                    <w:jc w:val="center"/>
                    <w:rPr>
                      <w:rFonts w:hint="default"/>
                    </w:rPr>
                  </w:pPr>
                  <w:r>
                    <w:rPr>
                      <w:rFonts w:hint="default"/>
                    </w:rPr>
                    <w:t>/</w:t>
                  </w:r>
                </w:p>
              </w:tc>
              <w:tc>
                <w:tcPr>
                  <w:tcW w:w="3262" w:type="dxa"/>
                  <w:gridSpan w:val="4"/>
                  <w:noWrap w:val="0"/>
                  <w:vAlign w:val="center"/>
                </w:tcPr>
                <w:p>
                  <w:pPr>
                    <w:widowControl w:val="0"/>
                    <w:autoSpaceDE w:val="0"/>
                    <w:autoSpaceDN w:val="0"/>
                    <w:adjustRightInd w:val="0"/>
                    <w:jc w:val="center"/>
                    <w:rPr>
                      <w:rFonts w:hint="eastAsia"/>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1149" w:type="dxa"/>
                  <w:noWrap w:val="0"/>
                  <w:vAlign w:val="center"/>
                </w:tcPr>
                <w:p>
                  <w:pPr>
                    <w:widowControl w:val="0"/>
                    <w:autoSpaceDE w:val="0"/>
                    <w:autoSpaceDN w:val="0"/>
                    <w:adjustRightInd w:val="0"/>
                    <w:jc w:val="center"/>
                    <w:rPr>
                      <w:rFonts w:hint="default"/>
                    </w:rPr>
                  </w:pPr>
                  <w:r>
                    <w:rPr>
                      <w:rFonts w:hint="default"/>
                    </w:rPr>
                    <w:t>监测因子</w:t>
                  </w:r>
                </w:p>
              </w:tc>
              <w:tc>
                <w:tcPr>
                  <w:tcW w:w="2988" w:type="dxa"/>
                  <w:gridSpan w:val="5"/>
                  <w:noWrap w:val="0"/>
                  <w:vAlign w:val="center"/>
                </w:tcPr>
                <w:p>
                  <w:pPr>
                    <w:widowControl w:val="0"/>
                    <w:autoSpaceDE w:val="0"/>
                    <w:autoSpaceDN w:val="0"/>
                    <w:adjustRightInd w:val="0"/>
                    <w:jc w:val="center"/>
                    <w:rPr>
                      <w:rFonts w:hint="default"/>
                    </w:rPr>
                  </w:pPr>
                  <w:r>
                    <w:rPr>
                      <w:rFonts w:hint="default"/>
                    </w:rPr>
                    <w:t>/</w:t>
                  </w:r>
                </w:p>
              </w:tc>
              <w:tc>
                <w:tcPr>
                  <w:tcW w:w="3262" w:type="dxa"/>
                  <w:gridSpan w:val="4"/>
                  <w:noWrap w:val="0"/>
                  <w:vAlign w:val="center"/>
                </w:tcPr>
                <w:p>
                  <w:pPr>
                    <w:widowControl w:val="0"/>
                    <w:autoSpaceDE w:val="0"/>
                    <w:autoSpaceDN w:val="0"/>
                    <w:adjustRightInd w:val="0"/>
                    <w:jc w:val="center"/>
                    <w:rPr>
                      <w:rFonts w:hint="eastAsia"/>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污染物排放清单</w:t>
                  </w:r>
                </w:p>
              </w:tc>
              <w:tc>
                <w:tcPr>
                  <w:tcW w:w="7399" w:type="dxa"/>
                  <w:gridSpan w:val="10"/>
                  <w:noWrap w:val="0"/>
                  <w:vAlign w:val="center"/>
                </w:tcPr>
                <w:p>
                  <w:pPr>
                    <w:widowControl w:val="0"/>
                    <w:autoSpaceDE w:val="0"/>
                    <w:autoSpaceDN w:val="0"/>
                    <w:adjustRightInd w:val="0"/>
                    <w:jc w:val="center"/>
                    <w:rPr>
                      <w:rFonts w:hint="eastAsia"/>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noWrap w:val="0"/>
                  <w:vAlign w:val="center"/>
                </w:tcPr>
                <w:p>
                  <w:pPr>
                    <w:widowControl w:val="0"/>
                    <w:autoSpaceDE w:val="0"/>
                    <w:autoSpaceDN w:val="0"/>
                    <w:adjustRightInd w:val="0"/>
                    <w:jc w:val="center"/>
                    <w:rPr>
                      <w:rFonts w:hint="default"/>
                    </w:rPr>
                  </w:pPr>
                  <w:r>
                    <w:rPr>
                      <w:rFonts w:hint="default"/>
                    </w:rPr>
                    <w:t>评价结论</w:t>
                  </w:r>
                </w:p>
              </w:tc>
              <w:tc>
                <w:tcPr>
                  <w:tcW w:w="7399" w:type="dxa"/>
                  <w:gridSpan w:val="10"/>
                  <w:noWrap w:val="0"/>
                  <w:vAlign w:val="center"/>
                </w:tcPr>
                <w:p>
                  <w:pPr>
                    <w:widowControl w:val="0"/>
                    <w:autoSpaceDE w:val="0"/>
                    <w:autoSpaceDN w:val="0"/>
                    <w:adjustRightInd w:val="0"/>
                    <w:jc w:val="both"/>
                    <w:rPr>
                      <w:rFonts w:hint="default"/>
                    </w:rPr>
                  </w:pPr>
                  <w:r>
                    <w:rPr>
                      <w:rFonts w:hint="default"/>
                    </w:rPr>
                    <w:t>可以接受 √；不可以接受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gridSpan w:val="12"/>
                  <w:noWrap w:val="0"/>
                  <w:vAlign w:val="center"/>
                </w:tcPr>
                <w:p>
                  <w:pPr>
                    <w:widowControl w:val="0"/>
                    <w:autoSpaceDE w:val="0"/>
                    <w:autoSpaceDN w:val="0"/>
                    <w:adjustRightInd w:val="0"/>
                    <w:jc w:val="left"/>
                    <w:rPr>
                      <w:rFonts w:hint="default"/>
                    </w:rPr>
                  </w:pPr>
                  <w:r>
                    <w:rPr>
                      <w:rFonts w:hint="default"/>
                    </w:rPr>
                    <w:t>注：“ □”为勾选项，可√；“（）”为内容填写项；“备注”为其他补充内容。</w:t>
                  </w:r>
                </w:p>
              </w:tc>
            </w:tr>
          </w:tbl>
          <w:p>
            <w:pPr>
              <w:pStyle w:val="13"/>
              <w:spacing w:line="520" w:lineRule="exact"/>
              <w:ind w:firstLine="480" w:firstLineChars="200"/>
              <w:rPr>
                <w:bCs/>
                <w:sz w:val="24"/>
                <w:lang w:val="en-US" w:eastAsia="zh-CN"/>
              </w:rPr>
            </w:pPr>
            <w:r>
              <w:rPr>
                <w:rFonts w:hint="eastAsia"/>
                <w:bCs/>
                <w:sz w:val="24"/>
                <w:lang w:val="en-US" w:eastAsia="zh-CN"/>
              </w:rPr>
              <w:t>2.2</w:t>
            </w:r>
            <w:r>
              <w:rPr>
                <w:bCs/>
                <w:sz w:val="24"/>
                <w:lang w:val="en-US" w:eastAsia="zh-CN"/>
              </w:rPr>
              <w:t>地下水环境影响分析</w:t>
            </w:r>
          </w:p>
          <w:p>
            <w:pPr>
              <w:spacing w:line="520" w:lineRule="exact"/>
              <w:ind w:firstLine="480" w:firstLineChars="200"/>
              <w:rPr>
                <w:rFonts w:eastAsia="黑体"/>
                <w:b/>
                <w:sz w:val="24"/>
                <w:u w:val="single"/>
              </w:rPr>
            </w:pPr>
            <w:r>
              <w:rPr>
                <w:bCs/>
                <w:sz w:val="24"/>
              </w:rPr>
              <w:t>本项目属于</w:t>
            </w:r>
            <w:r>
              <w:rPr>
                <w:sz w:val="24"/>
              </w:rPr>
              <w:t>非金属矿物制品业</w:t>
            </w:r>
            <w:r>
              <w:rPr>
                <w:bCs/>
                <w:sz w:val="24"/>
              </w:rPr>
              <w:t>。根据《环境影响评价技术导则  地下水环境》（HJ610-2016），本项目属于IV类建设项目，因此不再对地下水环境影响进行分析。</w:t>
            </w:r>
          </w:p>
          <w:p>
            <w:pPr>
              <w:spacing w:line="520" w:lineRule="exact"/>
              <w:ind w:firstLine="480" w:firstLineChars="200"/>
              <w:rPr>
                <w:rFonts w:eastAsia="黑体"/>
                <w:sz w:val="24"/>
              </w:rPr>
            </w:pPr>
            <w:r>
              <w:rPr>
                <w:rFonts w:eastAsia="黑体"/>
                <w:sz w:val="24"/>
              </w:rPr>
              <w:t>三、声环境影响分析</w:t>
            </w:r>
          </w:p>
          <w:p>
            <w:pPr>
              <w:spacing w:line="520" w:lineRule="exact"/>
              <w:ind w:firstLine="480" w:firstLineChars="200"/>
              <w:rPr>
                <w:sz w:val="24"/>
              </w:rPr>
            </w:pPr>
            <w:r>
              <w:rPr>
                <w:sz w:val="24"/>
              </w:rPr>
              <w:t>本项目噪声主要来自机械设备运转时产生的噪声，其噪声源强为70-90dB(A)，项目设备均设置在生产车间内，因此可概化为一个虚拟源强（虚拟噪声源位置位于车间中心）。经基础减震、厂墙隔声后的虚拟噪声源强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37</w:t>
            </w:r>
            <w:r>
              <w:rPr>
                <w:rFonts w:eastAsia="黑体"/>
                <w:kern w:val="0"/>
                <w:sz w:val="24"/>
                <w:lang w:val="zh-CN"/>
              </w:rPr>
              <w:t xml:space="preserve">       各噪声源经治理后的噪声值              单位：dB(A)</w:t>
            </w:r>
          </w:p>
          <w:tbl>
            <w:tblPr>
              <w:tblStyle w:val="3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1665"/>
              <w:gridCol w:w="1621"/>
              <w:gridCol w:w="1572"/>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noWrap/>
                  <w:vAlign w:val="center"/>
                </w:tcPr>
                <w:p>
                  <w:pPr>
                    <w:snapToGrid w:val="0"/>
                    <w:spacing w:line="360" w:lineRule="exact"/>
                    <w:ind w:left="3"/>
                    <w:jc w:val="center"/>
                    <w:rPr>
                      <w:szCs w:val="21"/>
                    </w:rPr>
                  </w:pPr>
                  <w:r>
                    <w:rPr>
                      <w:szCs w:val="21"/>
                    </w:rPr>
                    <w:t>噪声源</w:t>
                  </w:r>
                </w:p>
              </w:tc>
              <w:tc>
                <w:tcPr>
                  <w:tcW w:w="1665" w:type="dxa"/>
                  <w:noWrap/>
                  <w:vAlign w:val="center"/>
                </w:tcPr>
                <w:p>
                  <w:pPr>
                    <w:snapToGrid w:val="0"/>
                    <w:spacing w:line="360" w:lineRule="exact"/>
                    <w:ind w:left="3"/>
                    <w:jc w:val="center"/>
                    <w:rPr>
                      <w:szCs w:val="21"/>
                    </w:rPr>
                  </w:pPr>
                  <w:r>
                    <w:rPr>
                      <w:szCs w:val="21"/>
                    </w:rPr>
                    <w:t>设备</w:t>
                  </w:r>
                </w:p>
              </w:tc>
              <w:tc>
                <w:tcPr>
                  <w:tcW w:w="1621" w:type="dxa"/>
                  <w:noWrap/>
                  <w:vAlign w:val="center"/>
                </w:tcPr>
                <w:p>
                  <w:pPr>
                    <w:snapToGrid w:val="0"/>
                    <w:spacing w:line="360" w:lineRule="exact"/>
                    <w:ind w:left="3"/>
                    <w:jc w:val="center"/>
                    <w:rPr>
                      <w:szCs w:val="21"/>
                    </w:rPr>
                  </w:pPr>
                  <w:r>
                    <w:rPr>
                      <w:szCs w:val="21"/>
                    </w:rPr>
                    <w:t>声源值</w:t>
                  </w:r>
                </w:p>
              </w:tc>
              <w:tc>
                <w:tcPr>
                  <w:tcW w:w="1572" w:type="dxa"/>
                  <w:noWrap/>
                  <w:vAlign w:val="center"/>
                </w:tcPr>
                <w:p>
                  <w:pPr>
                    <w:snapToGrid w:val="0"/>
                    <w:spacing w:line="360" w:lineRule="exact"/>
                    <w:ind w:left="3"/>
                    <w:jc w:val="center"/>
                    <w:rPr>
                      <w:szCs w:val="21"/>
                    </w:rPr>
                  </w:pPr>
                  <w:r>
                    <w:rPr>
                      <w:szCs w:val="21"/>
                    </w:rPr>
                    <w:t>数量</w:t>
                  </w:r>
                </w:p>
              </w:tc>
              <w:tc>
                <w:tcPr>
                  <w:tcW w:w="2236" w:type="dxa"/>
                  <w:noWrap/>
                  <w:vAlign w:val="center"/>
                </w:tcPr>
                <w:p>
                  <w:pPr>
                    <w:snapToGrid w:val="0"/>
                    <w:spacing w:line="360" w:lineRule="exact"/>
                    <w:jc w:val="center"/>
                    <w:rPr>
                      <w:szCs w:val="21"/>
                    </w:rPr>
                  </w:pPr>
                  <w:r>
                    <w:rPr>
                      <w:szCs w:val="21"/>
                    </w:rPr>
                    <w:t>噪声叠加值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restart"/>
                  <w:noWrap/>
                  <w:vAlign w:val="center"/>
                </w:tcPr>
                <w:p>
                  <w:pPr>
                    <w:snapToGrid w:val="0"/>
                    <w:spacing w:line="360" w:lineRule="exact"/>
                    <w:ind w:left="3"/>
                    <w:jc w:val="center"/>
                    <w:rPr>
                      <w:szCs w:val="21"/>
                    </w:rPr>
                  </w:pPr>
                  <w:r>
                    <w:rPr>
                      <w:szCs w:val="21"/>
                    </w:rPr>
                    <w:t>生产车间</w:t>
                  </w:r>
                </w:p>
              </w:tc>
              <w:tc>
                <w:tcPr>
                  <w:tcW w:w="1665" w:type="dxa"/>
                  <w:noWrap/>
                  <w:vAlign w:val="center"/>
                </w:tcPr>
                <w:p>
                  <w:pPr>
                    <w:spacing w:line="360" w:lineRule="exact"/>
                    <w:jc w:val="center"/>
                    <w:rPr>
                      <w:szCs w:val="21"/>
                    </w:rPr>
                  </w:pPr>
                  <w:r>
                    <w:rPr>
                      <w:szCs w:val="21"/>
                    </w:rPr>
                    <w:t>电子配料机</w:t>
                  </w:r>
                </w:p>
              </w:tc>
              <w:tc>
                <w:tcPr>
                  <w:tcW w:w="1621" w:type="dxa"/>
                  <w:noWrap/>
                  <w:vAlign w:val="center"/>
                </w:tcPr>
                <w:p>
                  <w:pPr>
                    <w:pStyle w:val="50"/>
                    <w:rPr>
                      <w:bCs/>
                      <w:szCs w:val="21"/>
                    </w:rPr>
                  </w:pPr>
                  <w:r>
                    <w:rPr>
                      <w:szCs w:val="21"/>
                    </w:rPr>
                    <w:t>55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restart"/>
                  <w:noWrap/>
                  <w:vAlign w:val="center"/>
                </w:tcPr>
                <w:p>
                  <w:pPr>
                    <w:snapToGrid w:val="0"/>
                    <w:spacing w:line="360" w:lineRule="exact"/>
                    <w:jc w:val="center"/>
                    <w:rPr>
                      <w:sz w:val="20"/>
                    </w:rPr>
                  </w:pPr>
                  <w:r>
                    <w:rPr>
                      <w:rFonts w:hint="eastAsia"/>
                      <w:sz w:val="20"/>
                    </w:rPr>
                    <w:t>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spacing w:line="360" w:lineRule="exact"/>
                    <w:jc w:val="center"/>
                    <w:rPr>
                      <w:szCs w:val="21"/>
                    </w:rPr>
                  </w:pPr>
                  <w:r>
                    <w:rPr>
                      <w:szCs w:val="21"/>
                    </w:rPr>
                    <w:t>物料输送机</w:t>
                  </w:r>
                </w:p>
              </w:tc>
              <w:tc>
                <w:tcPr>
                  <w:tcW w:w="1621" w:type="dxa"/>
                  <w:noWrap/>
                  <w:vAlign w:val="center"/>
                </w:tcPr>
                <w:p>
                  <w:pPr>
                    <w:pStyle w:val="50"/>
                    <w:rPr>
                      <w:bCs/>
                      <w:szCs w:val="21"/>
                    </w:rPr>
                  </w:pPr>
                  <w:r>
                    <w:rPr>
                      <w:szCs w:val="21"/>
                    </w:rPr>
                    <w:t>60</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szCs w:val="21"/>
                    </w:rPr>
                    <w:t>搅拌机</w:t>
                  </w:r>
                </w:p>
              </w:tc>
              <w:tc>
                <w:tcPr>
                  <w:tcW w:w="1621" w:type="dxa"/>
                  <w:noWrap/>
                  <w:vAlign w:val="center"/>
                </w:tcPr>
                <w:p>
                  <w:pPr>
                    <w:pStyle w:val="50"/>
                    <w:rPr>
                      <w:bCs/>
                      <w:szCs w:val="21"/>
                    </w:rPr>
                  </w:pPr>
                  <w:r>
                    <w:rPr>
                      <w:szCs w:val="21"/>
                    </w:rPr>
                    <w:t>65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kern w:val="0"/>
                      <w:szCs w:val="21"/>
                      <w:lang w:val="zh-CN"/>
                    </w:rPr>
                    <w:t>成型机</w:t>
                  </w:r>
                </w:p>
              </w:tc>
              <w:tc>
                <w:tcPr>
                  <w:tcW w:w="1621" w:type="dxa"/>
                  <w:noWrap/>
                  <w:vAlign w:val="center"/>
                </w:tcPr>
                <w:p>
                  <w:pPr>
                    <w:pStyle w:val="50"/>
                    <w:rPr>
                      <w:bCs/>
                      <w:szCs w:val="21"/>
                    </w:rPr>
                  </w:pPr>
                  <w:r>
                    <w:rPr>
                      <w:szCs w:val="21"/>
                    </w:rPr>
                    <w:t>60</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szCs w:val="21"/>
                    </w:rPr>
                    <w:t>码垛机</w:t>
                  </w:r>
                </w:p>
              </w:tc>
              <w:tc>
                <w:tcPr>
                  <w:tcW w:w="1621" w:type="dxa"/>
                  <w:noWrap/>
                  <w:vAlign w:val="center"/>
                </w:tcPr>
                <w:p>
                  <w:pPr>
                    <w:pStyle w:val="50"/>
                    <w:rPr>
                      <w:bCs/>
                      <w:szCs w:val="21"/>
                    </w:rPr>
                  </w:pPr>
                  <w:r>
                    <w:rPr>
                      <w:szCs w:val="21"/>
                    </w:rPr>
                    <w:t>55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szCs w:val="21"/>
                    </w:rPr>
                    <w:t>风机</w:t>
                  </w:r>
                </w:p>
              </w:tc>
              <w:tc>
                <w:tcPr>
                  <w:tcW w:w="1621" w:type="dxa"/>
                  <w:noWrap/>
                  <w:vAlign w:val="center"/>
                </w:tcPr>
                <w:p>
                  <w:pPr>
                    <w:pStyle w:val="50"/>
                    <w:rPr>
                      <w:bCs/>
                      <w:szCs w:val="21"/>
                    </w:rPr>
                  </w:pPr>
                  <w:r>
                    <w:rPr>
                      <w:rFonts w:hint="eastAsia"/>
                      <w:szCs w:val="21"/>
                    </w:rPr>
                    <w:t>65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bl>
          <w:p>
            <w:pPr>
              <w:pStyle w:val="55"/>
              <w:spacing w:beforeLines="50"/>
              <w:rPr>
                <w:lang w:eastAsia="zh-CN"/>
              </w:rPr>
            </w:pPr>
            <w:r>
              <w:rPr>
                <w:lang w:eastAsia="zh-CN"/>
              </w:rPr>
              <w:t>为说明项目运营过程中噪声对周围环境的影响程度，根据《环境影响评价技术导则  声环境》（HJ2.4-2009）的技术要求，本次评价采取导则上的推荐模式进行预测。</w:t>
            </w:r>
          </w:p>
          <w:p>
            <w:pPr>
              <w:pStyle w:val="55"/>
              <w:rPr>
                <w:lang w:eastAsia="zh-CN"/>
              </w:rPr>
            </w:pPr>
            <w:r>
              <w:rPr>
                <w:lang w:eastAsia="zh-CN"/>
              </w:rPr>
              <w:t>（1）声级计算</w:t>
            </w:r>
          </w:p>
          <w:p>
            <w:pPr>
              <w:pStyle w:val="55"/>
              <w:rPr>
                <w:lang w:eastAsia="zh-CN"/>
              </w:rPr>
            </w:pPr>
            <w:r>
              <w:rPr>
                <w:lang w:eastAsia="zh-CN"/>
              </w:rPr>
              <w:t>a、建设项目声源在预测点产生的等效声级贡献值(L</w:t>
            </w:r>
            <w:r>
              <w:rPr>
                <w:i/>
                <w:iCs/>
                <w:lang w:eastAsia="zh-CN"/>
              </w:rPr>
              <w:t>eq g</w:t>
            </w:r>
            <w:r>
              <w:rPr>
                <w:lang w:eastAsia="zh-CN"/>
              </w:rPr>
              <w:t>)计算公式：</w:t>
            </w:r>
          </w:p>
          <w:p>
            <w:pPr>
              <w:pStyle w:val="55"/>
              <w:ind w:firstLine="3240" w:firstLineChars="1350"/>
              <w:rPr>
                <w:lang w:eastAsia="zh-CN"/>
              </w:rPr>
            </w:pPr>
            <w:r>
              <w:rPr>
                <w:position w:val="-30"/>
                <w:lang w:eastAsia="zh-CN"/>
              </w:rPr>
              <w:object>
                <v:shape id="_x0000_i1031" o:spt="75" type="#_x0000_t75" style="height:36pt;width:131.2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p>
          <w:p>
            <w:pPr>
              <w:pStyle w:val="55"/>
              <w:rPr>
                <w:lang w:eastAsia="zh-CN"/>
              </w:rPr>
            </w:pPr>
            <w:r>
              <w:rPr>
                <w:lang w:eastAsia="zh-CN"/>
              </w:rPr>
              <w:t>式中：</w:t>
            </w:r>
          </w:p>
          <w:p>
            <w:pPr>
              <w:pStyle w:val="55"/>
              <w:rPr>
                <w:lang w:eastAsia="zh-CN"/>
              </w:rPr>
            </w:pPr>
            <w:r>
              <w:rPr>
                <w:i/>
                <w:lang w:eastAsia="zh-CN"/>
              </w:rPr>
              <w:t>L</w:t>
            </w:r>
            <w:r>
              <w:rPr>
                <w:i/>
                <w:vertAlign w:val="subscript"/>
                <w:lang w:eastAsia="zh-CN"/>
              </w:rPr>
              <w:t>eqg</w:t>
            </w:r>
            <w:r>
              <w:rPr>
                <w:lang w:eastAsia="zh-CN"/>
              </w:rPr>
              <w:t>—建设项目声源在预测点的等效声级贡献值，dB(A)；</w:t>
            </w:r>
          </w:p>
          <w:p>
            <w:pPr>
              <w:pStyle w:val="55"/>
              <w:rPr>
                <w:lang w:eastAsia="zh-CN"/>
              </w:rPr>
            </w:pPr>
            <w:r>
              <w:rPr>
                <w:i/>
                <w:lang w:eastAsia="zh-CN"/>
              </w:rPr>
              <w:t>L</w:t>
            </w:r>
            <w:r>
              <w:rPr>
                <w:i/>
                <w:vertAlign w:val="subscript"/>
                <w:lang w:eastAsia="zh-CN"/>
              </w:rPr>
              <w:t>Ai</w:t>
            </w:r>
            <w:r>
              <w:rPr>
                <w:lang w:eastAsia="zh-CN"/>
              </w:rPr>
              <w:t>—</w:t>
            </w:r>
            <w:r>
              <w:rPr>
                <w:i/>
                <w:lang w:eastAsia="zh-CN"/>
              </w:rPr>
              <w:t xml:space="preserve"> i</w:t>
            </w:r>
            <w:r>
              <w:rPr>
                <w:lang w:eastAsia="zh-CN"/>
              </w:rPr>
              <w:t>声源在预测点产生的A声级，dB(A)；</w:t>
            </w:r>
          </w:p>
          <w:p>
            <w:pPr>
              <w:pStyle w:val="55"/>
              <w:rPr>
                <w:lang w:eastAsia="zh-CN"/>
              </w:rPr>
            </w:pPr>
            <w:r>
              <w:rPr>
                <w:i/>
                <w:lang w:eastAsia="zh-CN"/>
              </w:rPr>
              <w:t>T</w:t>
            </w:r>
            <w:r>
              <w:rPr>
                <w:lang w:eastAsia="zh-CN"/>
              </w:rPr>
              <w:t xml:space="preserve">  —预测计算的时间段，s；</w:t>
            </w:r>
          </w:p>
          <w:p>
            <w:pPr>
              <w:pStyle w:val="55"/>
              <w:rPr>
                <w:lang w:eastAsia="zh-CN"/>
              </w:rPr>
            </w:pPr>
            <w:r>
              <w:rPr>
                <w:i/>
                <w:lang w:eastAsia="zh-CN"/>
              </w:rPr>
              <w:t>t</w:t>
            </w:r>
            <w:r>
              <w:rPr>
                <w:i/>
                <w:vertAlign w:val="subscript"/>
                <w:lang w:eastAsia="zh-CN"/>
              </w:rPr>
              <w:t>i</w:t>
            </w:r>
            <w:r>
              <w:rPr>
                <w:lang w:eastAsia="zh-CN"/>
              </w:rPr>
              <w:t xml:space="preserve"> — </w:t>
            </w:r>
            <w:r>
              <w:rPr>
                <w:i/>
                <w:lang w:eastAsia="zh-CN"/>
              </w:rPr>
              <w:t>i</w:t>
            </w:r>
            <w:r>
              <w:rPr>
                <w:lang w:eastAsia="zh-CN"/>
              </w:rPr>
              <w:t>声源在T时段内的运行时间，s。</w:t>
            </w:r>
          </w:p>
          <w:p>
            <w:pPr>
              <w:spacing w:line="360" w:lineRule="auto"/>
              <w:ind w:firstLine="480" w:firstLineChars="200"/>
              <w:rPr>
                <w:kern w:val="0"/>
                <w:sz w:val="24"/>
                <w:lang w:val="zh-CN"/>
              </w:rPr>
            </w:pPr>
            <w:r>
              <w:rPr>
                <w:kern w:val="0"/>
                <w:sz w:val="24"/>
              </w:rPr>
              <w:t>b</w:t>
            </w:r>
            <w:r>
              <w:rPr>
                <w:kern w:val="0"/>
                <w:sz w:val="24"/>
                <w:lang w:val="zh-CN"/>
              </w:rPr>
              <w:t>、预测点的预测等效声级（</w:t>
            </w:r>
            <w:r>
              <w:rPr>
                <w:i/>
                <w:kern w:val="0"/>
                <w:sz w:val="24"/>
                <w:lang w:val="zh-CN"/>
              </w:rPr>
              <w:t>Leq</w:t>
            </w:r>
            <w:r>
              <w:rPr>
                <w:kern w:val="0"/>
                <w:sz w:val="24"/>
                <w:lang w:val="zh-CN"/>
              </w:rPr>
              <w:t>）计算公式：</w:t>
            </w:r>
          </w:p>
          <w:p>
            <w:pPr>
              <w:pStyle w:val="13"/>
              <w:spacing w:line="360" w:lineRule="auto"/>
              <w:jc w:val="center"/>
              <w:rPr>
                <w:i/>
                <w:sz w:val="24"/>
                <w:szCs w:val="24"/>
                <w:lang w:val="en-US" w:eastAsia="zh-CN"/>
              </w:rPr>
            </w:pPr>
            <w:r>
              <w:rPr>
                <w:i/>
                <w:position w:val="-14"/>
                <w:sz w:val="24"/>
                <w:szCs w:val="24"/>
                <w:lang w:val="en-US" w:eastAsia="zh-CN"/>
              </w:rPr>
              <w:object>
                <v:shape id="_x0000_i1032" o:spt="75" type="#_x0000_t75" style="height:21pt;width:135.7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p>
          <w:p>
            <w:pPr>
              <w:pStyle w:val="13"/>
              <w:spacing w:line="360" w:lineRule="auto"/>
              <w:ind w:firstLine="480" w:firstLineChars="200"/>
              <w:rPr>
                <w:kern w:val="0"/>
                <w:sz w:val="24"/>
                <w:szCs w:val="24"/>
                <w:lang w:val="en-US" w:eastAsia="zh-CN"/>
              </w:rPr>
            </w:pPr>
            <w:r>
              <w:rPr>
                <w:kern w:val="0"/>
                <w:sz w:val="24"/>
                <w:szCs w:val="24"/>
                <w:lang w:val="zh-CN" w:eastAsia="zh-CN"/>
              </w:rPr>
              <w:t>式中</w:t>
            </w:r>
            <w:r>
              <w:rPr>
                <w:kern w:val="0"/>
                <w:sz w:val="24"/>
                <w:szCs w:val="24"/>
                <w:lang w:val="en-US" w:eastAsia="zh-CN"/>
              </w:rPr>
              <w:t>：</w:t>
            </w:r>
          </w:p>
          <w:p>
            <w:pPr>
              <w:pStyle w:val="13"/>
              <w:adjustRightInd w:val="0"/>
              <w:spacing w:line="360" w:lineRule="auto"/>
              <w:ind w:firstLine="960" w:firstLineChars="400"/>
              <w:rPr>
                <w:kern w:val="0"/>
                <w:sz w:val="24"/>
                <w:szCs w:val="24"/>
                <w:lang w:val="en-US" w:eastAsia="zh-CN"/>
              </w:rPr>
            </w:pPr>
            <w:r>
              <w:rPr>
                <w:i/>
                <w:kern w:val="0"/>
                <w:sz w:val="24"/>
                <w:szCs w:val="24"/>
                <w:lang w:val="en-US" w:eastAsia="zh-CN"/>
              </w:rPr>
              <w:t>L</w:t>
            </w:r>
            <w:r>
              <w:rPr>
                <w:i/>
                <w:kern w:val="0"/>
                <w:sz w:val="24"/>
                <w:szCs w:val="24"/>
                <w:vertAlign w:val="subscript"/>
                <w:lang w:val="en-US" w:eastAsia="zh-CN"/>
              </w:rPr>
              <w:t>eqg</w:t>
            </w:r>
            <w:r>
              <w:rPr>
                <w:kern w:val="0"/>
                <w:sz w:val="24"/>
                <w:szCs w:val="24"/>
                <w:lang w:val="en-US" w:eastAsia="zh-CN"/>
              </w:rPr>
              <w:t>—</w:t>
            </w:r>
            <w:r>
              <w:rPr>
                <w:kern w:val="0"/>
                <w:sz w:val="24"/>
                <w:szCs w:val="24"/>
                <w:lang w:val="zh-CN" w:eastAsia="zh-CN"/>
              </w:rPr>
              <w:t>建设项目声源在预测点的等效声级贡献值，</w:t>
            </w:r>
            <w:r>
              <w:rPr>
                <w:kern w:val="0"/>
                <w:sz w:val="24"/>
                <w:szCs w:val="24"/>
                <w:lang w:val="en-US" w:eastAsia="zh-CN"/>
              </w:rPr>
              <w:t>[dB(A)]；</w:t>
            </w:r>
          </w:p>
          <w:p>
            <w:pPr>
              <w:pStyle w:val="13"/>
              <w:adjustRightInd w:val="0"/>
              <w:spacing w:line="360" w:lineRule="auto"/>
              <w:ind w:firstLine="960" w:firstLineChars="400"/>
              <w:rPr>
                <w:kern w:val="0"/>
                <w:sz w:val="24"/>
                <w:szCs w:val="24"/>
                <w:lang w:val="en-US" w:eastAsia="zh-CN"/>
              </w:rPr>
            </w:pPr>
            <w:r>
              <w:rPr>
                <w:i/>
                <w:kern w:val="0"/>
                <w:sz w:val="24"/>
                <w:szCs w:val="24"/>
                <w:lang w:val="en-US" w:eastAsia="zh-CN"/>
              </w:rPr>
              <w:t>L</w:t>
            </w:r>
            <w:r>
              <w:rPr>
                <w:i/>
                <w:kern w:val="0"/>
                <w:sz w:val="24"/>
                <w:szCs w:val="24"/>
                <w:vertAlign w:val="subscript"/>
                <w:lang w:val="en-US" w:eastAsia="zh-CN"/>
              </w:rPr>
              <w:t>eqb</w:t>
            </w:r>
            <w:r>
              <w:rPr>
                <w:kern w:val="0"/>
                <w:sz w:val="24"/>
                <w:szCs w:val="24"/>
                <w:lang w:val="en-US" w:eastAsia="zh-CN"/>
              </w:rPr>
              <w:t>—</w:t>
            </w:r>
            <w:r>
              <w:rPr>
                <w:kern w:val="0"/>
                <w:sz w:val="24"/>
                <w:szCs w:val="24"/>
                <w:lang w:val="zh-CN" w:eastAsia="zh-CN"/>
              </w:rPr>
              <w:t>预测点的背景值，</w:t>
            </w:r>
            <w:r>
              <w:rPr>
                <w:kern w:val="0"/>
                <w:sz w:val="24"/>
                <w:szCs w:val="24"/>
                <w:lang w:val="en-US" w:eastAsia="zh-CN"/>
              </w:rPr>
              <w:t>[dB(A)]</w:t>
            </w:r>
            <w:r>
              <w:rPr>
                <w:kern w:val="0"/>
                <w:sz w:val="24"/>
                <w:szCs w:val="24"/>
                <w:lang w:val="zh-CN" w:eastAsia="zh-CN"/>
              </w:rPr>
              <w:t>。</w:t>
            </w:r>
          </w:p>
          <w:p>
            <w:pPr>
              <w:pStyle w:val="55"/>
              <w:rPr>
                <w:lang w:eastAsia="zh-CN"/>
              </w:rPr>
            </w:pPr>
            <w:r>
              <w:rPr>
                <w:lang w:eastAsia="zh-CN"/>
              </w:rPr>
              <w:t>（2）衰减计算</w:t>
            </w:r>
          </w:p>
          <w:p>
            <w:pPr>
              <w:pStyle w:val="13"/>
              <w:adjustRightInd w:val="0"/>
              <w:spacing w:line="360" w:lineRule="auto"/>
              <w:ind w:firstLine="480" w:firstLineChars="200"/>
              <w:rPr>
                <w:kern w:val="0"/>
                <w:sz w:val="24"/>
                <w:szCs w:val="24"/>
                <w:lang w:val="zh-CN" w:eastAsia="zh-CN"/>
              </w:rPr>
            </w:pPr>
            <w:r>
              <w:rPr>
                <w:kern w:val="0"/>
                <w:sz w:val="24"/>
                <w:szCs w:val="24"/>
                <w:lang w:val="zh-CN" w:eastAsia="zh-CN"/>
              </w:rPr>
              <w:t>无指向性点声源几何发散衰减基本公式：</w:t>
            </w:r>
          </w:p>
          <w:p>
            <w:pPr>
              <w:pStyle w:val="13"/>
              <w:adjustRightInd w:val="0"/>
              <w:spacing w:line="360" w:lineRule="auto"/>
              <w:jc w:val="center"/>
              <w:rPr>
                <w:kern w:val="0"/>
                <w:sz w:val="24"/>
                <w:szCs w:val="24"/>
                <w:lang w:val="en-US" w:eastAsia="zh-CN"/>
              </w:rPr>
            </w:pPr>
            <w:r>
              <w:rPr>
                <w:i/>
                <w:position w:val="-14"/>
                <w:sz w:val="24"/>
                <w:szCs w:val="24"/>
                <w:lang w:val="en-US" w:eastAsia="zh-CN"/>
              </w:rPr>
              <w:object>
                <v:shape id="_x0000_i1033" o:spt="75" type="#_x0000_t75" style="height:18.75pt;width:122.2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kern w:val="0"/>
                <w:sz w:val="24"/>
                <w:szCs w:val="24"/>
                <w:lang w:val="pt-BR" w:eastAsia="zh-CN"/>
              </w:rPr>
              <w:t>-</w:t>
            </w:r>
            <w:r>
              <w:rPr>
                <w:rStyle w:val="36"/>
                <w:i/>
                <w:lang w:val="pt-BR" w:eastAsia="zh-CN"/>
              </w:rPr>
              <w:t>△L</w:t>
            </w:r>
          </w:p>
          <w:p>
            <w:pPr>
              <w:pStyle w:val="13"/>
              <w:spacing w:line="360" w:lineRule="auto"/>
              <w:ind w:firstLine="480"/>
              <w:rPr>
                <w:kern w:val="0"/>
                <w:sz w:val="24"/>
                <w:szCs w:val="24"/>
                <w:lang w:val="en-US" w:eastAsia="zh-CN"/>
              </w:rPr>
            </w:pPr>
            <w:r>
              <w:rPr>
                <w:kern w:val="0"/>
                <w:sz w:val="24"/>
                <w:szCs w:val="24"/>
                <w:lang w:val="zh-CN" w:eastAsia="zh-CN"/>
              </w:rPr>
              <w:t>式中</w:t>
            </w:r>
            <w:r>
              <w:rPr>
                <w:kern w:val="0"/>
                <w:sz w:val="24"/>
                <w:szCs w:val="24"/>
                <w:lang w:val="en-US" w:eastAsia="zh-CN"/>
              </w:rPr>
              <w:t>：</w:t>
            </w:r>
            <w:r>
              <w:rPr>
                <w:i/>
                <w:kern w:val="0"/>
                <w:sz w:val="24"/>
                <w:szCs w:val="24"/>
                <w:lang w:val="en-US" w:eastAsia="zh-CN"/>
              </w:rPr>
              <w:t>L</w:t>
            </w:r>
            <w:r>
              <w:rPr>
                <w:i/>
                <w:kern w:val="0"/>
                <w:sz w:val="24"/>
                <w:szCs w:val="24"/>
                <w:vertAlign w:val="subscript"/>
                <w:lang w:val="en-US" w:eastAsia="zh-CN"/>
              </w:rPr>
              <w:t xml:space="preserve">A(r)  </w:t>
            </w:r>
            <w:r>
              <w:rPr>
                <w:kern w:val="0"/>
                <w:sz w:val="24"/>
                <w:szCs w:val="24"/>
                <w:lang w:val="en-US" w:eastAsia="zh-CN"/>
              </w:rPr>
              <w:t>—</w:t>
            </w:r>
            <w:r>
              <w:rPr>
                <w:kern w:val="0"/>
                <w:sz w:val="24"/>
                <w:szCs w:val="24"/>
                <w:lang w:val="zh-CN" w:eastAsia="zh-CN"/>
              </w:rPr>
              <w:t>距离声源</w:t>
            </w:r>
            <w:r>
              <w:rPr>
                <w:i/>
                <w:kern w:val="0"/>
                <w:sz w:val="24"/>
                <w:szCs w:val="24"/>
                <w:lang w:val="en-US" w:eastAsia="zh-CN"/>
              </w:rPr>
              <w:t>r</w:t>
            </w:r>
            <w:r>
              <w:rPr>
                <w:kern w:val="0"/>
                <w:sz w:val="24"/>
                <w:szCs w:val="24"/>
                <w:lang w:val="zh-CN" w:eastAsia="zh-CN"/>
              </w:rPr>
              <w:t>米处噪声预测值</w:t>
            </w:r>
            <w:r>
              <w:rPr>
                <w:kern w:val="0"/>
                <w:sz w:val="24"/>
                <w:szCs w:val="24"/>
                <w:lang w:val="en-US" w:eastAsia="zh-CN"/>
              </w:rPr>
              <w:t>，[dB(A)]；</w:t>
            </w:r>
          </w:p>
          <w:p>
            <w:pPr>
              <w:pStyle w:val="13"/>
              <w:spacing w:line="360" w:lineRule="auto"/>
              <w:ind w:firstLine="1080" w:firstLineChars="450"/>
              <w:rPr>
                <w:kern w:val="0"/>
                <w:sz w:val="24"/>
                <w:szCs w:val="24"/>
                <w:lang w:val="en-US" w:eastAsia="zh-CN"/>
              </w:rPr>
            </w:pPr>
            <w:r>
              <w:rPr>
                <w:i/>
                <w:kern w:val="0"/>
                <w:sz w:val="24"/>
                <w:szCs w:val="24"/>
                <w:lang w:val="en-US" w:eastAsia="zh-CN"/>
              </w:rPr>
              <w:t>L</w:t>
            </w:r>
            <w:r>
              <w:rPr>
                <w:i/>
                <w:kern w:val="0"/>
                <w:sz w:val="24"/>
                <w:szCs w:val="24"/>
                <w:vertAlign w:val="subscript"/>
                <w:lang w:val="en-US" w:eastAsia="zh-CN"/>
              </w:rPr>
              <w:t xml:space="preserve">A(r0) </w:t>
            </w:r>
            <w:r>
              <w:rPr>
                <w:kern w:val="0"/>
                <w:sz w:val="24"/>
                <w:szCs w:val="24"/>
                <w:lang w:val="en-US" w:eastAsia="zh-CN"/>
              </w:rPr>
              <w:t>—</w:t>
            </w:r>
            <w:r>
              <w:rPr>
                <w:kern w:val="0"/>
                <w:sz w:val="24"/>
                <w:szCs w:val="24"/>
                <w:lang w:val="zh-CN" w:eastAsia="zh-CN"/>
              </w:rPr>
              <w:t>距离声源</w:t>
            </w:r>
            <w:r>
              <w:rPr>
                <w:i/>
                <w:kern w:val="0"/>
                <w:sz w:val="24"/>
                <w:szCs w:val="24"/>
                <w:lang w:val="en-US" w:eastAsia="zh-CN"/>
              </w:rPr>
              <w:t>r</w:t>
            </w:r>
            <w:r>
              <w:rPr>
                <w:i/>
                <w:kern w:val="0"/>
                <w:sz w:val="24"/>
                <w:szCs w:val="24"/>
                <w:vertAlign w:val="subscript"/>
                <w:lang w:val="en-US" w:eastAsia="zh-CN"/>
              </w:rPr>
              <w:t>0</w:t>
            </w:r>
            <w:r>
              <w:rPr>
                <w:kern w:val="0"/>
                <w:sz w:val="24"/>
                <w:szCs w:val="24"/>
                <w:lang w:val="zh-CN" w:eastAsia="zh-CN"/>
              </w:rPr>
              <w:t>米处噪声预测值</w:t>
            </w:r>
            <w:r>
              <w:rPr>
                <w:kern w:val="0"/>
                <w:sz w:val="24"/>
                <w:szCs w:val="24"/>
                <w:lang w:val="en-US" w:eastAsia="zh-CN"/>
              </w:rPr>
              <w:t>，[dB(A)]；</w:t>
            </w:r>
          </w:p>
          <w:p>
            <w:pPr>
              <w:pStyle w:val="13"/>
              <w:spacing w:line="360" w:lineRule="auto"/>
              <w:ind w:firstLine="1080" w:firstLineChars="450"/>
              <w:rPr>
                <w:kern w:val="0"/>
                <w:sz w:val="24"/>
                <w:szCs w:val="24"/>
                <w:lang w:val="en-US" w:eastAsia="zh-CN"/>
              </w:rPr>
            </w:pPr>
            <w:r>
              <w:rPr>
                <w:i/>
                <w:kern w:val="0"/>
                <w:sz w:val="24"/>
                <w:szCs w:val="24"/>
                <w:lang w:val="en-US" w:eastAsia="zh-CN"/>
              </w:rPr>
              <w:t>r</w:t>
            </w:r>
            <w:r>
              <w:rPr>
                <w:i/>
                <w:kern w:val="0"/>
                <w:sz w:val="24"/>
                <w:szCs w:val="24"/>
                <w:vertAlign w:val="subscript"/>
                <w:lang w:val="en-US" w:eastAsia="zh-CN"/>
              </w:rPr>
              <w:t xml:space="preserve">0     </w:t>
            </w:r>
            <w:r>
              <w:rPr>
                <w:kern w:val="0"/>
                <w:sz w:val="24"/>
                <w:szCs w:val="24"/>
                <w:lang w:val="en-US" w:eastAsia="zh-CN"/>
              </w:rPr>
              <w:t>—</w:t>
            </w:r>
            <w:r>
              <w:rPr>
                <w:kern w:val="0"/>
                <w:sz w:val="24"/>
                <w:szCs w:val="24"/>
                <w:lang w:val="zh-CN" w:eastAsia="zh-CN"/>
              </w:rPr>
              <w:t>参照点到声源的距离，（</w:t>
            </w:r>
            <w:r>
              <w:rPr>
                <w:kern w:val="0"/>
                <w:sz w:val="24"/>
                <w:szCs w:val="24"/>
                <w:lang w:val="en-US" w:eastAsia="zh-CN"/>
              </w:rPr>
              <w:t>m）；</w:t>
            </w:r>
          </w:p>
          <w:p>
            <w:pPr>
              <w:pStyle w:val="13"/>
              <w:spacing w:line="360" w:lineRule="auto"/>
              <w:ind w:firstLine="1080" w:firstLineChars="450"/>
              <w:rPr>
                <w:kern w:val="0"/>
                <w:sz w:val="24"/>
                <w:szCs w:val="24"/>
                <w:lang w:val="zh-CN" w:eastAsia="zh-CN"/>
              </w:rPr>
            </w:pPr>
            <w:r>
              <w:rPr>
                <w:i/>
                <w:kern w:val="0"/>
                <w:sz w:val="24"/>
                <w:szCs w:val="24"/>
                <w:lang w:val="en-US" w:eastAsia="zh-CN"/>
              </w:rPr>
              <w:t>r</w:t>
            </w:r>
            <w:r>
              <w:rPr>
                <w:kern w:val="0"/>
                <w:sz w:val="24"/>
                <w:szCs w:val="24"/>
                <w:lang w:val="zh-CN" w:eastAsia="zh-CN"/>
              </w:rPr>
              <w:t>—预测点到声源的距离，（m）；</w:t>
            </w:r>
          </w:p>
          <w:p>
            <w:pPr>
              <w:spacing w:line="360" w:lineRule="auto"/>
              <w:ind w:firstLine="960" w:firstLineChars="400"/>
              <w:rPr>
                <w:kern w:val="0"/>
                <w:sz w:val="24"/>
                <w:lang w:val="zh-CN"/>
              </w:rPr>
            </w:pPr>
            <w:r>
              <w:rPr>
                <w:i/>
                <w:kern w:val="0"/>
                <w:sz w:val="24"/>
                <w:lang w:val="zh-CN"/>
              </w:rPr>
              <w:t>△L</w:t>
            </w:r>
            <w:r>
              <w:rPr>
                <w:kern w:val="0"/>
                <w:sz w:val="24"/>
                <w:lang w:val="zh-CN"/>
              </w:rPr>
              <w:t xml:space="preserve">   —墙体隔声[dB(A)]，厂墙隔声取</w:t>
            </w:r>
            <w:r>
              <w:rPr>
                <w:kern w:val="0"/>
                <w:sz w:val="24"/>
              </w:rPr>
              <w:t>0</w:t>
            </w:r>
            <w:r>
              <w:rPr>
                <w:kern w:val="0"/>
                <w:sz w:val="24"/>
                <w:lang w:val="zh-CN"/>
              </w:rPr>
              <w:t>。</w:t>
            </w:r>
          </w:p>
          <w:p>
            <w:pPr>
              <w:spacing w:line="520" w:lineRule="exact"/>
              <w:ind w:firstLine="480" w:firstLineChars="200"/>
              <w:rPr>
                <w:sz w:val="24"/>
              </w:rPr>
            </w:pPr>
            <w:r>
              <w:rPr>
                <w:sz w:val="24"/>
              </w:rPr>
              <w:t>项目仅昼间生产，夜间不生产，生产时间段为</w:t>
            </w:r>
            <w:r>
              <w:rPr>
                <w:snapToGrid w:val="0"/>
                <w:sz w:val="24"/>
              </w:rPr>
              <w:t>8:00-12:00、14:00-18:00，</w:t>
            </w:r>
            <w:r>
              <w:rPr>
                <w:sz w:val="24"/>
              </w:rPr>
              <w:t>根据室内、室外声压级预测模式，计算出</w:t>
            </w:r>
            <w:r>
              <w:rPr>
                <w:bCs/>
                <w:sz w:val="24"/>
              </w:rPr>
              <w:t>等效室外声源及预测厂界噪声</w:t>
            </w:r>
            <w:r>
              <w:rPr>
                <w:sz w:val="24"/>
              </w:rPr>
              <w:t>见</w:t>
            </w:r>
            <w:r>
              <w:rPr>
                <w:rFonts w:hint="eastAsia"/>
                <w:sz w:val="24"/>
              </w:rPr>
              <w:t>下表</w:t>
            </w:r>
            <w:r>
              <w:rPr>
                <w:sz w:val="24"/>
              </w:rPr>
              <w:t>。</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38</w:t>
            </w:r>
            <w:r>
              <w:rPr>
                <w:rFonts w:eastAsia="黑体"/>
                <w:kern w:val="0"/>
                <w:sz w:val="24"/>
              </w:rPr>
              <w:t xml:space="preserve">          项目噪声衰减后厂界噪声情况一览表       单位：dB（A）</w:t>
            </w:r>
          </w:p>
          <w:tbl>
            <w:tblPr>
              <w:tblStyle w:val="32"/>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963"/>
              <w:gridCol w:w="1394"/>
              <w:gridCol w:w="1454"/>
              <w:gridCol w:w="1337"/>
              <w:gridCol w:w="1206"/>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预测点位</w:t>
                  </w:r>
                </w:p>
              </w:tc>
              <w:tc>
                <w:tcPr>
                  <w:tcW w:w="963" w:type="dxa"/>
                  <w:noWrap/>
                  <w:vAlign w:val="center"/>
                </w:tcPr>
                <w:p>
                  <w:pPr>
                    <w:snapToGrid w:val="0"/>
                    <w:jc w:val="center"/>
                    <w:rPr>
                      <w:szCs w:val="21"/>
                    </w:rPr>
                  </w:pPr>
                  <w:r>
                    <w:rPr>
                      <w:szCs w:val="21"/>
                    </w:rPr>
                    <w:t>距声源最近距离</w:t>
                  </w:r>
                </w:p>
              </w:tc>
              <w:tc>
                <w:tcPr>
                  <w:tcW w:w="1394" w:type="dxa"/>
                  <w:noWrap/>
                  <w:vAlign w:val="center"/>
                </w:tcPr>
                <w:p>
                  <w:pPr>
                    <w:snapToGrid w:val="0"/>
                    <w:jc w:val="center"/>
                    <w:rPr>
                      <w:szCs w:val="21"/>
                    </w:rPr>
                  </w:pPr>
                  <w:r>
                    <w:rPr>
                      <w:szCs w:val="21"/>
                    </w:rPr>
                    <w:t>噪声源强</w:t>
                  </w:r>
                </w:p>
              </w:tc>
              <w:tc>
                <w:tcPr>
                  <w:tcW w:w="1454" w:type="dxa"/>
                  <w:noWrap/>
                  <w:vAlign w:val="center"/>
                </w:tcPr>
                <w:p>
                  <w:pPr>
                    <w:snapToGrid w:val="0"/>
                    <w:jc w:val="center"/>
                    <w:rPr>
                      <w:szCs w:val="21"/>
                    </w:rPr>
                  </w:pPr>
                  <w:r>
                    <w:rPr>
                      <w:szCs w:val="21"/>
                    </w:rPr>
                    <w:t>贡献值</w:t>
                  </w:r>
                </w:p>
              </w:tc>
              <w:tc>
                <w:tcPr>
                  <w:tcW w:w="1337" w:type="dxa"/>
                  <w:noWrap/>
                  <w:vAlign w:val="center"/>
                </w:tcPr>
                <w:p>
                  <w:pPr>
                    <w:snapToGrid w:val="0"/>
                    <w:jc w:val="center"/>
                    <w:rPr>
                      <w:szCs w:val="21"/>
                    </w:rPr>
                  </w:pPr>
                  <w:r>
                    <w:rPr>
                      <w:szCs w:val="21"/>
                    </w:rPr>
                    <w:t>背景值</w:t>
                  </w:r>
                </w:p>
              </w:tc>
              <w:tc>
                <w:tcPr>
                  <w:tcW w:w="1206" w:type="dxa"/>
                  <w:noWrap/>
                  <w:vAlign w:val="center"/>
                </w:tcPr>
                <w:p>
                  <w:pPr>
                    <w:snapToGrid w:val="0"/>
                    <w:jc w:val="center"/>
                    <w:rPr>
                      <w:szCs w:val="21"/>
                    </w:rPr>
                  </w:pPr>
                  <w:r>
                    <w:rPr>
                      <w:szCs w:val="21"/>
                    </w:rPr>
                    <w:t>预测值</w:t>
                  </w:r>
                </w:p>
              </w:tc>
              <w:tc>
                <w:tcPr>
                  <w:tcW w:w="1003" w:type="dxa"/>
                  <w:noWrap/>
                  <w:vAlign w:val="center"/>
                </w:tcPr>
                <w:p>
                  <w:pPr>
                    <w:snapToGrid w:val="0"/>
                    <w:jc w:val="center"/>
                    <w:rPr>
                      <w:szCs w:val="21"/>
                    </w:rPr>
                  </w:pPr>
                  <w:r>
                    <w:rPr>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东厂界</w:t>
                  </w:r>
                </w:p>
              </w:tc>
              <w:tc>
                <w:tcPr>
                  <w:tcW w:w="963" w:type="dxa"/>
                  <w:noWrap/>
                  <w:vAlign w:val="center"/>
                </w:tcPr>
                <w:p>
                  <w:pPr>
                    <w:snapToGrid w:val="0"/>
                    <w:jc w:val="center"/>
                    <w:rPr>
                      <w:rFonts w:hint="default" w:eastAsia="宋体"/>
                      <w:szCs w:val="21"/>
                      <w:lang w:val="en-US" w:eastAsia="zh-CN"/>
                    </w:rPr>
                  </w:pPr>
                  <w:r>
                    <w:rPr>
                      <w:rFonts w:hint="eastAsia"/>
                      <w:szCs w:val="21"/>
                      <w:lang w:val="en-US" w:eastAsia="zh-CN"/>
                    </w:rPr>
                    <w:t>40</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37.46</w:t>
                  </w:r>
                </w:p>
              </w:tc>
              <w:tc>
                <w:tcPr>
                  <w:tcW w:w="1337" w:type="dxa"/>
                  <w:noWrap/>
                  <w:vAlign w:val="center"/>
                </w:tcPr>
                <w:p>
                  <w:pPr>
                    <w:snapToGrid w:val="0"/>
                    <w:jc w:val="center"/>
                    <w:rPr>
                      <w:rFonts w:hint="default" w:eastAsia="宋体"/>
                      <w:color w:val="auto"/>
                      <w:szCs w:val="21"/>
                      <w:lang w:val="en-US" w:eastAsia="zh-CN"/>
                    </w:rPr>
                  </w:pPr>
                  <w:r>
                    <w:rPr>
                      <w:rFonts w:hint="eastAsia"/>
                      <w:color w:val="auto"/>
                      <w:szCs w:val="21"/>
                      <w:lang w:val="en-US" w:eastAsia="zh-CN"/>
                    </w:rPr>
                    <w:t>50</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50.24</w:t>
                  </w:r>
                </w:p>
              </w:tc>
              <w:tc>
                <w:tcPr>
                  <w:tcW w:w="1003" w:type="dxa"/>
                  <w:noWrap/>
                  <w:vAlign w:val="center"/>
                </w:tcPr>
                <w:p>
                  <w:pPr>
                    <w:snapToGrid w:val="0"/>
                    <w:jc w:val="center"/>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360" w:type="dxa"/>
                  <w:noWrap/>
                  <w:vAlign w:val="center"/>
                </w:tcPr>
                <w:p>
                  <w:pPr>
                    <w:snapToGrid w:val="0"/>
                    <w:jc w:val="center"/>
                    <w:rPr>
                      <w:szCs w:val="21"/>
                    </w:rPr>
                  </w:pPr>
                  <w:r>
                    <w:rPr>
                      <w:szCs w:val="21"/>
                    </w:rPr>
                    <w:t>西厂界</w:t>
                  </w:r>
                </w:p>
              </w:tc>
              <w:tc>
                <w:tcPr>
                  <w:tcW w:w="963" w:type="dxa"/>
                  <w:noWrap/>
                  <w:vAlign w:val="center"/>
                </w:tcPr>
                <w:p>
                  <w:pPr>
                    <w:tabs>
                      <w:tab w:val="left" w:pos="761"/>
                    </w:tabs>
                    <w:jc w:val="center"/>
                    <w:rPr>
                      <w:rFonts w:hint="default" w:eastAsia="宋体"/>
                      <w:szCs w:val="21"/>
                      <w:lang w:val="en-US" w:eastAsia="zh-CN"/>
                    </w:rPr>
                  </w:pPr>
                  <w:r>
                    <w:rPr>
                      <w:rFonts w:hint="eastAsia"/>
                      <w:szCs w:val="21"/>
                      <w:lang w:val="en-US" w:eastAsia="zh-CN"/>
                    </w:rPr>
                    <w:t>35</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38.62</w:t>
                  </w:r>
                </w:p>
              </w:tc>
              <w:tc>
                <w:tcPr>
                  <w:tcW w:w="1337" w:type="dxa"/>
                  <w:noWrap/>
                  <w:vAlign w:val="center"/>
                </w:tcPr>
                <w:p>
                  <w:pPr>
                    <w:tabs>
                      <w:tab w:val="left" w:pos="761"/>
                    </w:tabs>
                    <w:jc w:val="center"/>
                    <w:rPr>
                      <w:rFonts w:hint="default" w:eastAsia="宋体"/>
                      <w:color w:val="auto"/>
                      <w:szCs w:val="21"/>
                      <w:lang w:val="en-US" w:eastAsia="zh-CN"/>
                    </w:rPr>
                  </w:pPr>
                  <w:r>
                    <w:rPr>
                      <w:rFonts w:hint="eastAsia"/>
                      <w:color w:val="auto"/>
                      <w:szCs w:val="21"/>
                      <w:lang w:val="en-US" w:eastAsia="zh-CN"/>
                    </w:rPr>
                    <w:t>51</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51.24</w:t>
                  </w:r>
                </w:p>
              </w:tc>
              <w:tc>
                <w:tcPr>
                  <w:tcW w:w="1003" w:type="dxa"/>
                  <w:noWrap/>
                  <w:vAlign w:val="center"/>
                </w:tcPr>
                <w:p>
                  <w:pPr>
                    <w:snapToGrid w:val="0"/>
                    <w:jc w:val="center"/>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南厂界</w:t>
                  </w:r>
                </w:p>
              </w:tc>
              <w:tc>
                <w:tcPr>
                  <w:tcW w:w="963" w:type="dxa"/>
                  <w:noWrap/>
                  <w:vAlign w:val="center"/>
                </w:tcPr>
                <w:p>
                  <w:pPr>
                    <w:snapToGrid w:val="0"/>
                    <w:jc w:val="center"/>
                    <w:rPr>
                      <w:rFonts w:hint="default" w:eastAsia="宋体"/>
                      <w:szCs w:val="21"/>
                      <w:lang w:val="en-US" w:eastAsia="zh-CN"/>
                    </w:rPr>
                  </w:pPr>
                  <w:r>
                    <w:rPr>
                      <w:rFonts w:hint="eastAsia"/>
                      <w:szCs w:val="21"/>
                      <w:lang w:val="en-US" w:eastAsia="zh-CN"/>
                    </w:rPr>
                    <w:t>125</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27.56</w:t>
                  </w:r>
                </w:p>
              </w:tc>
              <w:tc>
                <w:tcPr>
                  <w:tcW w:w="1337" w:type="dxa"/>
                  <w:noWrap/>
                  <w:vAlign w:val="center"/>
                </w:tcPr>
                <w:p>
                  <w:pPr>
                    <w:snapToGrid w:val="0"/>
                    <w:jc w:val="center"/>
                    <w:rPr>
                      <w:rFonts w:hint="default" w:eastAsia="宋体"/>
                      <w:color w:val="auto"/>
                      <w:szCs w:val="21"/>
                      <w:lang w:val="en-US" w:eastAsia="zh-CN"/>
                    </w:rPr>
                  </w:pPr>
                  <w:r>
                    <w:rPr>
                      <w:rFonts w:hint="eastAsia"/>
                      <w:iCs/>
                      <w:color w:val="auto"/>
                      <w:szCs w:val="21"/>
                      <w:lang w:val="en-US" w:eastAsia="zh-CN"/>
                    </w:rPr>
                    <w:t>51</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51.02</w:t>
                  </w:r>
                </w:p>
              </w:tc>
              <w:tc>
                <w:tcPr>
                  <w:tcW w:w="1003" w:type="dxa"/>
                  <w:noWrap/>
                  <w:vAlign w:val="center"/>
                </w:tcPr>
                <w:p>
                  <w:pPr>
                    <w:snapToGrid w:val="0"/>
                    <w:jc w:val="center"/>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北厂界</w:t>
                  </w:r>
                </w:p>
              </w:tc>
              <w:tc>
                <w:tcPr>
                  <w:tcW w:w="963" w:type="dxa"/>
                  <w:noWrap/>
                  <w:vAlign w:val="center"/>
                </w:tcPr>
                <w:p>
                  <w:pPr>
                    <w:snapToGrid w:val="0"/>
                    <w:jc w:val="center"/>
                    <w:rPr>
                      <w:rFonts w:hint="default" w:eastAsia="宋体"/>
                      <w:szCs w:val="21"/>
                      <w:lang w:val="en-US" w:eastAsia="zh-CN"/>
                    </w:rPr>
                  </w:pPr>
                  <w:r>
                    <w:rPr>
                      <w:rFonts w:hint="eastAsia"/>
                      <w:szCs w:val="21"/>
                      <w:lang w:val="en-US" w:eastAsia="zh-CN"/>
                    </w:rPr>
                    <w:t>12</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47.92</w:t>
                  </w:r>
                </w:p>
              </w:tc>
              <w:tc>
                <w:tcPr>
                  <w:tcW w:w="1337" w:type="dxa"/>
                  <w:noWrap/>
                  <w:vAlign w:val="center"/>
                </w:tcPr>
                <w:p>
                  <w:pPr>
                    <w:snapToGrid w:val="0"/>
                    <w:jc w:val="center"/>
                    <w:rPr>
                      <w:rFonts w:hint="default" w:eastAsia="宋体"/>
                      <w:color w:val="auto"/>
                      <w:szCs w:val="21"/>
                      <w:lang w:val="en-US" w:eastAsia="zh-CN"/>
                    </w:rPr>
                  </w:pPr>
                  <w:r>
                    <w:rPr>
                      <w:rFonts w:hint="eastAsia"/>
                      <w:iCs/>
                      <w:color w:val="auto"/>
                      <w:szCs w:val="21"/>
                      <w:lang w:val="en-US" w:eastAsia="zh-CN"/>
                    </w:rPr>
                    <w:t>53</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54.17</w:t>
                  </w:r>
                </w:p>
              </w:tc>
              <w:tc>
                <w:tcPr>
                  <w:tcW w:w="1003" w:type="dxa"/>
                  <w:noWrap/>
                  <w:vAlign w:val="center"/>
                </w:tcPr>
                <w:p>
                  <w:pPr>
                    <w:snapToGrid w:val="0"/>
                    <w:jc w:val="center"/>
                    <w:rPr>
                      <w:szCs w:val="21"/>
                    </w:rPr>
                  </w:pPr>
                  <w:r>
                    <w:rPr>
                      <w:szCs w:val="21"/>
                    </w:rPr>
                    <w:t>60</w:t>
                  </w:r>
                </w:p>
              </w:tc>
            </w:tr>
          </w:tbl>
          <w:p>
            <w:pPr>
              <w:spacing w:line="520" w:lineRule="exact"/>
              <w:ind w:firstLine="480" w:firstLineChars="200"/>
              <w:rPr>
                <w:sz w:val="24"/>
              </w:rPr>
            </w:pPr>
            <w:r>
              <w:rPr>
                <w:sz w:val="24"/>
              </w:rPr>
              <w:t>由上表可知，经过采取隔声降噪、基础减震及距离衰减后，项目厂界噪声贡献值均满足《工业企业厂界环境噪声排放标准》（GB12348-2008）中的2类标准（昼间≤60dB（A））要求。厂界噪声可以实现达标排放，对周围声环境影响不大。</w:t>
            </w:r>
          </w:p>
          <w:p>
            <w:pPr>
              <w:spacing w:line="520" w:lineRule="exact"/>
              <w:ind w:firstLine="480" w:firstLineChars="200"/>
              <w:rPr>
                <w:rFonts w:eastAsia="黑体"/>
                <w:sz w:val="24"/>
              </w:rPr>
            </w:pPr>
            <w:r>
              <w:rPr>
                <w:rFonts w:eastAsia="黑体"/>
                <w:sz w:val="24"/>
              </w:rPr>
              <w:t>四、固体废物影响分析</w:t>
            </w:r>
          </w:p>
          <w:p>
            <w:pPr>
              <w:spacing w:line="520" w:lineRule="exact"/>
              <w:ind w:firstLine="480" w:firstLineChars="200"/>
              <w:rPr>
                <w:rFonts w:hint="eastAsia" w:eastAsia="宋体"/>
                <w:sz w:val="24"/>
                <w:lang w:eastAsia="zh-CN"/>
              </w:rPr>
            </w:pPr>
            <w:r>
              <w:rPr>
                <w:sz w:val="24"/>
              </w:rPr>
              <w:t>（1）</w:t>
            </w:r>
            <w:r>
              <w:rPr>
                <w:rFonts w:hint="eastAsia"/>
                <w:sz w:val="24"/>
                <w:lang w:eastAsia="zh-CN"/>
              </w:rPr>
              <w:t>除尘器收集的颗粒物</w:t>
            </w:r>
          </w:p>
          <w:p>
            <w:pPr>
              <w:spacing w:line="520" w:lineRule="exact"/>
              <w:ind w:firstLine="482"/>
              <w:rPr>
                <w:sz w:val="24"/>
              </w:rPr>
            </w:pPr>
            <w:r>
              <w:rPr>
                <w:sz w:val="24"/>
              </w:rPr>
              <w:t>本项目生产过程中罐顶</w:t>
            </w:r>
            <w:r>
              <w:rPr>
                <w:rFonts w:hint="eastAsia"/>
                <w:sz w:val="24"/>
                <w:lang w:eastAsia="zh-CN"/>
              </w:rPr>
              <w:t>颗粒物和投料、</w:t>
            </w:r>
            <w:r>
              <w:rPr>
                <w:sz w:val="24"/>
              </w:rPr>
              <w:t>搅拌</w:t>
            </w:r>
            <w:r>
              <w:rPr>
                <w:rFonts w:hint="eastAsia"/>
                <w:sz w:val="24"/>
                <w:lang w:eastAsia="zh-CN"/>
              </w:rPr>
              <w:t>过程产生的颗粒物</w:t>
            </w:r>
            <w:r>
              <w:rPr>
                <w:sz w:val="24"/>
              </w:rPr>
              <w:t>，采用袋式除尘器进行收集，</w:t>
            </w:r>
            <w:r>
              <w:rPr>
                <w:rFonts w:hint="eastAsia"/>
                <w:sz w:val="24"/>
                <w:lang w:eastAsia="zh-CN"/>
              </w:rPr>
              <w:t>除尘器收集颗粒物</w:t>
            </w:r>
            <w:r>
              <w:rPr>
                <w:sz w:val="24"/>
              </w:rPr>
              <w:t>量为</w:t>
            </w:r>
            <w:r>
              <w:rPr>
                <w:rFonts w:hint="eastAsia"/>
                <w:sz w:val="24"/>
                <w:lang w:eastAsia="zh-CN"/>
              </w:rPr>
              <w:t>23.</w:t>
            </w:r>
            <w:r>
              <w:rPr>
                <w:rFonts w:hint="eastAsia"/>
                <w:sz w:val="24"/>
                <w:lang w:val="en-US" w:eastAsia="zh-CN"/>
              </w:rPr>
              <w:t>119</w:t>
            </w:r>
            <w:r>
              <w:rPr>
                <w:sz w:val="24"/>
              </w:rPr>
              <w:t>t/a，该部分固废收集后可作为生产原料回用于生产，综合利用，不外排。</w:t>
            </w:r>
          </w:p>
          <w:p>
            <w:pPr>
              <w:spacing w:line="520" w:lineRule="exact"/>
              <w:ind w:firstLine="480" w:firstLineChars="200"/>
              <w:rPr>
                <w:sz w:val="24"/>
              </w:rPr>
            </w:pPr>
            <w:r>
              <w:rPr>
                <w:sz w:val="24"/>
              </w:rPr>
              <w:t>（2）不合格湿坯</w:t>
            </w:r>
          </w:p>
          <w:p>
            <w:pPr>
              <w:spacing w:line="520" w:lineRule="exact"/>
              <w:ind w:firstLine="480" w:firstLineChars="200"/>
              <w:rPr>
                <w:sz w:val="24"/>
              </w:rPr>
            </w:pPr>
            <w:r>
              <w:rPr>
                <w:sz w:val="24"/>
              </w:rPr>
              <w:t>本项目生产过程中不合格湿坯主要产生于生产过程，产生量为</w:t>
            </w:r>
            <w:r>
              <w:rPr>
                <w:rFonts w:hint="eastAsia"/>
                <w:sz w:val="24"/>
              </w:rPr>
              <w:t>251</w:t>
            </w:r>
            <w:r>
              <w:rPr>
                <w:sz w:val="24"/>
              </w:rPr>
              <w:t>t/a，厂区收集后可作为生产原料投入搅拌机，回用于生产，综合利用，不外排。</w:t>
            </w:r>
          </w:p>
          <w:p>
            <w:pPr>
              <w:spacing w:line="520" w:lineRule="exact"/>
              <w:ind w:firstLine="480" w:firstLineChars="200"/>
              <w:rPr>
                <w:bCs/>
                <w:sz w:val="24"/>
              </w:rPr>
            </w:pPr>
            <w:r>
              <w:rPr>
                <w:bCs/>
                <w:sz w:val="24"/>
              </w:rPr>
              <w:t>（3）不合格干坯</w:t>
            </w:r>
          </w:p>
          <w:p>
            <w:pPr>
              <w:spacing w:line="520" w:lineRule="exact"/>
              <w:ind w:firstLine="480" w:firstLineChars="200"/>
              <w:rPr>
                <w:bCs/>
                <w:sz w:val="24"/>
              </w:rPr>
            </w:pPr>
            <w:r>
              <w:rPr>
                <w:bCs/>
                <w:sz w:val="24"/>
              </w:rPr>
              <w:t>本项目生产过程中不合格干坯主要产生于养护过程，产生量为1</w:t>
            </w:r>
            <w:r>
              <w:rPr>
                <w:rFonts w:hint="eastAsia"/>
                <w:bCs/>
                <w:sz w:val="24"/>
              </w:rPr>
              <w:t>0</w:t>
            </w:r>
            <w:r>
              <w:rPr>
                <w:bCs/>
                <w:sz w:val="24"/>
              </w:rPr>
              <w:t>0t/a，厂区收集后</w:t>
            </w:r>
            <w:r>
              <w:rPr>
                <w:rFonts w:hint="eastAsia"/>
                <w:bCs/>
                <w:sz w:val="24"/>
              </w:rPr>
              <w:t>外</w:t>
            </w:r>
            <w:r>
              <w:rPr>
                <w:bCs/>
                <w:sz w:val="24"/>
              </w:rPr>
              <w:t>售，综合利用，不外排。</w:t>
            </w:r>
          </w:p>
          <w:p>
            <w:pPr>
              <w:spacing w:line="520" w:lineRule="exact"/>
              <w:ind w:firstLine="480" w:firstLineChars="200"/>
              <w:rPr>
                <w:sz w:val="24"/>
              </w:rPr>
            </w:pPr>
            <w:r>
              <w:rPr>
                <w:sz w:val="24"/>
              </w:rPr>
              <w:t>（4）沉淀池沉渣</w:t>
            </w:r>
          </w:p>
          <w:p>
            <w:pPr>
              <w:spacing w:line="520" w:lineRule="exact"/>
              <w:ind w:firstLine="480" w:firstLineChars="200"/>
              <w:rPr>
                <w:sz w:val="24"/>
              </w:rPr>
            </w:pPr>
            <w:r>
              <w:rPr>
                <w:sz w:val="24"/>
              </w:rPr>
              <w:t>本项目各沉淀池在正常运行过程中会产</w:t>
            </w:r>
            <w:r>
              <w:rPr>
                <w:rFonts w:hint="eastAsia"/>
                <w:sz w:val="24"/>
              </w:rPr>
              <w:t>生</w:t>
            </w:r>
            <w:r>
              <w:rPr>
                <w:sz w:val="24"/>
              </w:rPr>
              <w:t>沉渣，产生量为5.0t/a，厂区收集后可作为生产原料回用于生产，综合利用，不外排。</w:t>
            </w:r>
          </w:p>
          <w:p>
            <w:pPr>
              <w:pStyle w:val="59"/>
              <w:spacing w:line="520" w:lineRule="atLeast"/>
              <w:ind w:firstLine="482"/>
              <w:rPr>
                <w:sz w:val="24"/>
                <w:szCs w:val="24"/>
              </w:rPr>
            </w:pPr>
            <w:r>
              <w:rPr>
                <w:sz w:val="24"/>
                <w:szCs w:val="24"/>
              </w:rPr>
              <w:t>（</w:t>
            </w:r>
            <w:r>
              <w:rPr>
                <w:rFonts w:hint="eastAsia"/>
                <w:sz w:val="24"/>
                <w:szCs w:val="24"/>
                <w:lang w:val="en-US" w:eastAsia="zh-CN"/>
              </w:rPr>
              <w:t>5</w:t>
            </w:r>
            <w:r>
              <w:rPr>
                <w:sz w:val="24"/>
                <w:szCs w:val="24"/>
              </w:rPr>
              <w:t>）生活垃圾</w:t>
            </w:r>
          </w:p>
          <w:p>
            <w:pPr>
              <w:spacing w:line="520" w:lineRule="exact"/>
              <w:ind w:firstLine="482"/>
              <w:rPr>
                <w:sz w:val="24"/>
              </w:rPr>
            </w:pPr>
            <w:r>
              <w:rPr>
                <w:sz w:val="24"/>
              </w:rPr>
              <w:t>本项目营运后生活垃圾产生量为1.</w:t>
            </w:r>
            <w:r>
              <w:rPr>
                <w:rFonts w:hint="eastAsia"/>
                <w:sz w:val="24"/>
              </w:rPr>
              <w:t>05</w:t>
            </w:r>
            <w:r>
              <w:rPr>
                <w:sz w:val="24"/>
              </w:rPr>
              <w:t>t/a，在厂区集中收集后，定期送当地生活垃圾中转站，最终进入鲁山县城市生活垃圾填埋场进行卫生填埋，对周围环境影响不大。</w:t>
            </w:r>
          </w:p>
          <w:p>
            <w:pPr>
              <w:spacing w:line="520" w:lineRule="exact"/>
              <w:ind w:firstLine="480" w:firstLineChars="200"/>
              <w:rPr>
                <w:sz w:val="24"/>
              </w:rPr>
            </w:pPr>
            <w:r>
              <w:rPr>
                <w:sz w:val="24"/>
              </w:rPr>
              <w:t>通过采上综合措施后，本项目固体废物均得到资源利用或安全处置，对周围环境影响较小。</w:t>
            </w:r>
          </w:p>
          <w:p>
            <w:pPr>
              <w:spacing w:line="520" w:lineRule="exact"/>
              <w:ind w:left="420" w:leftChars="200"/>
              <w:rPr>
                <w:rFonts w:eastAsia="黑体"/>
                <w:sz w:val="24"/>
              </w:rPr>
            </w:pPr>
            <w:r>
              <w:rPr>
                <w:rFonts w:hint="eastAsia" w:eastAsia="黑体"/>
                <w:sz w:val="24"/>
              </w:rPr>
              <w:t>五、土壤环境</w:t>
            </w:r>
            <w:r>
              <w:rPr>
                <w:rFonts w:eastAsia="黑体"/>
                <w:sz w:val="24"/>
              </w:rPr>
              <w:t>影响分析</w:t>
            </w:r>
          </w:p>
          <w:p>
            <w:pPr>
              <w:pStyle w:val="18"/>
              <w:keepNext w:val="0"/>
              <w:keepLines w:val="0"/>
              <w:numPr>
                <w:ilvl w:val="0"/>
                <w:numId w:val="0"/>
              </w:numPr>
              <w:suppressLineNumbers w:val="0"/>
              <w:spacing w:beforeAutospacing="0" w:after="0" w:afterAutospacing="0"/>
              <w:ind w:right="6" w:rightChars="0" w:firstLine="480" w:firstLineChars="200"/>
              <w:rPr>
                <w:rFonts w:hint="eastAsia" w:ascii="Times New Roman" w:hAnsi="Times New Roman" w:eastAsia="宋体" w:cs="Times New Roman"/>
                <w:kern w:val="2"/>
                <w:sz w:val="24"/>
                <w:szCs w:val="24"/>
                <w:lang w:val="en-US" w:eastAsia="zh-CN" w:bidi="ar"/>
              </w:rPr>
            </w:pPr>
            <w:r>
              <w:rPr>
                <w:rFonts w:hint="eastAsia" w:ascii="Times New Roman" w:hAnsi="Times New Roman" w:eastAsia="宋体" w:cs="Times New Roman"/>
                <w:kern w:val="2"/>
                <w:sz w:val="24"/>
                <w:szCs w:val="24"/>
                <w:lang w:val="en-US" w:eastAsia="zh-CN" w:bidi="ar"/>
              </w:rPr>
              <w:t>本项目为水泥制品生产，为工业类项目，属于污染影响型项目。项目生产过程涉及混料、搅拌、切块成型、自然养护等生产工序，根据《环境影响评价技术导则</w:t>
            </w:r>
            <w:r>
              <w:rPr>
                <w:rFonts w:hint="default" w:ascii="Times New Roman" w:hAnsi="Times New Roman" w:eastAsia="宋体" w:cs="Times New Roman"/>
                <w:kern w:val="2"/>
                <w:sz w:val="24"/>
                <w:szCs w:val="24"/>
                <w:lang w:val="en-US" w:eastAsia="zh-CN" w:bidi="ar"/>
              </w:rPr>
              <w:t xml:space="preserve">  </w:t>
            </w:r>
            <w:r>
              <w:rPr>
                <w:rFonts w:hint="eastAsia" w:ascii="Times New Roman" w:hAnsi="Times New Roman" w:eastAsia="宋体" w:cs="Times New Roman"/>
                <w:kern w:val="2"/>
                <w:sz w:val="24"/>
                <w:szCs w:val="24"/>
                <w:lang w:val="en-US" w:eastAsia="zh-CN" w:bidi="ar"/>
              </w:rPr>
              <w:t>土壤环境（试行）》（</w:t>
            </w:r>
            <w:r>
              <w:rPr>
                <w:rFonts w:hint="default" w:ascii="Times New Roman" w:hAnsi="Times New Roman" w:eastAsia="宋体" w:cs="Times New Roman"/>
                <w:kern w:val="2"/>
                <w:sz w:val="24"/>
                <w:szCs w:val="24"/>
                <w:lang w:val="en-US" w:eastAsia="zh-CN" w:bidi="ar"/>
              </w:rPr>
              <w:t>HJ964-2018</w:t>
            </w:r>
            <w:r>
              <w:rPr>
                <w:rFonts w:hint="eastAsia" w:ascii="Times New Roman" w:hAnsi="Times New Roman" w:eastAsia="宋体" w:cs="Times New Roman"/>
                <w:kern w:val="2"/>
                <w:sz w:val="24"/>
                <w:szCs w:val="24"/>
                <w:lang w:val="en-US" w:eastAsia="zh-CN" w:bidi="ar"/>
              </w:rPr>
              <w:t>）附录</w:t>
            </w:r>
            <w:r>
              <w:rPr>
                <w:rFonts w:hint="default" w:ascii="Times New Roman" w:hAnsi="Times New Roman" w:eastAsia="宋体" w:cs="Times New Roman"/>
                <w:kern w:val="2"/>
                <w:sz w:val="24"/>
                <w:szCs w:val="24"/>
                <w:lang w:val="en-US" w:eastAsia="zh-CN" w:bidi="ar"/>
              </w:rPr>
              <w:t>A</w:t>
            </w:r>
            <w:r>
              <w:rPr>
                <w:rFonts w:hint="eastAsia" w:ascii="Times New Roman" w:hAnsi="Times New Roman" w:eastAsia="宋体" w:cs="Times New Roman"/>
                <w:kern w:val="2"/>
                <w:sz w:val="24"/>
                <w:szCs w:val="24"/>
                <w:lang w:val="en-US" w:eastAsia="zh-CN" w:bidi="ar"/>
              </w:rPr>
              <w:t>，本项目为</w:t>
            </w:r>
            <w:r>
              <w:rPr>
                <w:rFonts w:hint="default" w:ascii="Times New Roman" w:hAnsi="Times New Roman" w:eastAsia="宋体" w:cs="Times New Roman"/>
                <w:kern w:val="2"/>
                <w:sz w:val="24"/>
                <w:szCs w:val="24"/>
                <w:lang w:val="en-US" w:eastAsia="zh-CN" w:bidi="ar"/>
              </w:rPr>
              <w:t>“</w:t>
            </w:r>
            <w:r>
              <w:rPr>
                <w:rFonts w:hint="eastAsia" w:ascii="Times New Roman" w:hAnsi="Times New Roman" w:eastAsia="宋体" w:cs="Times New Roman"/>
                <w:kern w:val="2"/>
                <w:sz w:val="24"/>
                <w:szCs w:val="24"/>
                <w:lang w:val="en-US" w:eastAsia="zh-CN" w:bidi="ar"/>
              </w:rPr>
              <w:t>制造业</w:t>
            </w:r>
            <w:r>
              <w:rPr>
                <w:rFonts w:hint="default" w:ascii="Times New Roman" w:hAnsi="Times New Roman" w:eastAsia="宋体" w:cs="Times New Roman"/>
                <w:kern w:val="2"/>
                <w:sz w:val="24"/>
                <w:szCs w:val="24"/>
                <w:lang w:val="en-US" w:eastAsia="zh-CN" w:bidi="ar"/>
              </w:rPr>
              <w:t>”</w:t>
            </w:r>
            <w:r>
              <w:rPr>
                <w:rFonts w:hint="eastAsia" w:ascii="Times New Roman" w:hAnsi="Times New Roman" w:eastAsia="宋体" w:cs="Times New Roman"/>
                <w:kern w:val="2"/>
                <w:sz w:val="24"/>
                <w:szCs w:val="24"/>
                <w:lang w:val="en-US" w:eastAsia="zh-CN" w:bidi="ar"/>
              </w:rPr>
              <w:t>中的其他，为</w:t>
            </w:r>
            <w:r>
              <w:rPr>
                <w:rFonts w:hint="default" w:ascii="Times New Roman" w:hAnsi="Times New Roman" w:eastAsia="宋体" w:cs="Times New Roman"/>
                <w:kern w:val="2"/>
                <w:sz w:val="24"/>
                <w:szCs w:val="24"/>
                <w:lang w:val="en-US" w:eastAsia="zh-CN" w:bidi="ar"/>
              </w:rPr>
              <w:fldChar w:fldCharType="begin"/>
            </w:r>
            <w:r>
              <w:rPr>
                <w:rFonts w:hint="default" w:ascii="Times New Roman" w:hAnsi="Times New Roman" w:eastAsia="宋体" w:cs="Times New Roman"/>
                <w:kern w:val="2"/>
                <w:sz w:val="24"/>
                <w:szCs w:val="24"/>
                <w:lang w:val="en-US" w:eastAsia="zh-CN" w:bidi="ar"/>
              </w:rPr>
              <w:instrText xml:space="preserve"> = 3 \* ROMAN \* MERGEFORMAT </w:instrText>
            </w:r>
            <w:r>
              <w:rPr>
                <w:rFonts w:hint="default" w:ascii="Times New Roman" w:hAnsi="Times New Roman" w:eastAsia="宋体" w:cs="Times New Roman"/>
                <w:kern w:val="2"/>
                <w:sz w:val="24"/>
                <w:szCs w:val="24"/>
                <w:lang w:val="en-US" w:eastAsia="zh-CN" w:bidi="ar"/>
              </w:rPr>
              <w:fldChar w:fldCharType="separate"/>
            </w:r>
            <w:r>
              <w:rPr>
                <w:rFonts w:hint="default" w:ascii="Times New Roman" w:hAnsi="Times New Roman" w:eastAsia="宋体" w:cs="Times New Roman"/>
                <w:kern w:val="2"/>
                <w:sz w:val="24"/>
                <w:szCs w:val="24"/>
                <w:lang w:val="en-US" w:eastAsia="zh-CN" w:bidi="ar"/>
              </w:rPr>
              <w:t>III</w:t>
            </w:r>
            <w:r>
              <w:rPr>
                <w:rFonts w:hint="default" w:ascii="Times New Roman" w:hAnsi="Times New Roman" w:eastAsia="宋体" w:cs="Times New Roman"/>
                <w:kern w:val="2"/>
                <w:sz w:val="24"/>
                <w:szCs w:val="24"/>
                <w:lang w:val="en-US" w:eastAsia="zh-CN" w:bidi="ar"/>
              </w:rPr>
              <w:fldChar w:fldCharType="end"/>
            </w:r>
            <w:r>
              <w:rPr>
                <w:rFonts w:hint="eastAsia" w:ascii="Times New Roman" w:hAnsi="Times New Roman" w:eastAsia="宋体" w:cs="Times New Roman"/>
                <w:kern w:val="2"/>
                <w:sz w:val="24"/>
                <w:szCs w:val="24"/>
                <w:lang w:val="en-US" w:eastAsia="zh-CN" w:bidi="ar"/>
              </w:rPr>
              <w:t>类；本项目占地面积为6600平方米，小于</w:t>
            </w:r>
            <w:r>
              <w:rPr>
                <w:rFonts w:hint="default" w:ascii="Times New Roman" w:hAnsi="Times New Roman" w:eastAsia="宋体" w:cs="Times New Roman"/>
                <w:kern w:val="2"/>
                <w:sz w:val="24"/>
                <w:szCs w:val="24"/>
                <w:lang w:val="en-US" w:eastAsia="zh-CN" w:bidi="ar"/>
              </w:rPr>
              <w:t>5hm</w:t>
            </w:r>
            <w:r>
              <w:rPr>
                <w:rFonts w:hint="default" w:ascii="Times New Roman" w:hAnsi="Times New Roman" w:eastAsia="宋体" w:cs="Times New Roman"/>
                <w:kern w:val="2"/>
                <w:sz w:val="24"/>
                <w:szCs w:val="24"/>
                <w:vertAlign w:val="superscript"/>
                <w:lang w:val="en-US" w:eastAsia="zh-CN" w:bidi="ar"/>
              </w:rPr>
              <w:t>2</w:t>
            </w:r>
            <w:r>
              <w:rPr>
                <w:rFonts w:hint="eastAsia" w:ascii="Times New Roman" w:hAnsi="Times New Roman" w:eastAsia="宋体" w:cs="Times New Roman"/>
                <w:kern w:val="2"/>
                <w:sz w:val="24"/>
                <w:szCs w:val="24"/>
                <w:lang w:val="en-US" w:eastAsia="zh-CN" w:bidi="ar"/>
              </w:rPr>
              <w:t>，为小型项目。</w:t>
            </w:r>
          </w:p>
          <w:p>
            <w:pPr>
              <w:pStyle w:val="18"/>
              <w:keepNext w:val="0"/>
              <w:keepLines w:val="0"/>
              <w:numPr>
                <w:ilvl w:val="0"/>
                <w:numId w:val="0"/>
              </w:numPr>
              <w:suppressLineNumbers w:val="0"/>
              <w:spacing w:beforeAutospacing="0" w:after="0" w:afterAutospacing="0"/>
              <w:ind w:right="6" w:rightChars="0"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位于张良镇工业园区，根据《根据鲁山县张良镇总体规划（2014-2030）用地规划图》，项目东侧、西侧、北侧为工业用地，南侧为公共绿地，周边敏感程度为“较敏感”。根据《环境影响评价技术导则土壤环境（试行）》（HJ964-2018）污染影响型评价工作等级划分表，本项目可不开展土壤环境影响评价工作。</w:t>
            </w:r>
          </w:p>
          <w:p>
            <w:pPr>
              <w:spacing w:line="500" w:lineRule="exact"/>
              <w:ind w:firstLine="480" w:firstLineChars="200"/>
              <w:jc w:val="center"/>
              <w:rPr>
                <w:b/>
                <w:bCs/>
                <w:szCs w:val="22"/>
              </w:rPr>
            </w:pPr>
            <w:r>
              <w:rPr>
                <w:rFonts w:hint="eastAsia" w:eastAsia="黑体"/>
                <w:kern w:val="0"/>
                <w:sz w:val="24"/>
                <w:szCs w:val="22"/>
                <w:lang w:val="en-US" w:eastAsia="zh-CN"/>
              </w:rPr>
              <mc:AlternateContent>
                <mc:Choice Requires="wps">
                  <w:drawing>
                    <wp:anchor distT="0" distB="0" distL="114300" distR="114300" simplePos="0" relativeHeight="252456960" behindDoc="0" locked="0" layoutInCell="1" allowOverlap="1">
                      <wp:simplePos x="0" y="0"/>
                      <wp:positionH relativeFrom="column">
                        <wp:posOffset>-45720</wp:posOffset>
                      </wp:positionH>
                      <wp:positionV relativeFrom="paragraph">
                        <wp:posOffset>269240</wp:posOffset>
                      </wp:positionV>
                      <wp:extent cx="718185" cy="461645"/>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718185" cy="461645"/>
                              </a:xfrm>
                              <a:prstGeom prst="rect">
                                <a:avLst/>
                              </a:prstGeom>
                              <a:noFill/>
                              <a:ln>
                                <a:noFill/>
                              </a:ln>
                            </wps:spPr>
                            <wps:txbx>
                              <w:txbxContent>
                                <w:p>
                                  <w:r>
                                    <w:rPr>
                                      <w:rFonts w:hint="eastAsia"/>
                                    </w:rPr>
                                    <w:t>评价工作等级</w:t>
                                  </w:r>
                                </w:p>
                              </w:txbxContent>
                            </wps:txbx>
                            <wps:bodyPr upright="1"/>
                          </wps:wsp>
                        </a:graphicData>
                      </a:graphic>
                    </wp:anchor>
                  </w:drawing>
                </mc:Choice>
                <mc:Fallback>
                  <w:pict>
                    <v:shape id="_x0000_s1026" o:spid="_x0000_s1026" o:spt="202" type="#_x0000_t202" style="position:absolute;left:0pt;margin-left:-3.6pt;margin-top:21.2pt;height:36.35pt;width:56.55pt;z-index:252456960;mso-width-relative:page;mso-height-relative:page;" filled="f" stroked="f" coordsize="21600,21600" o:gfxdata="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OI52D1gAA&#10;AAkBAAAPAAAAAAAAAAEAIAAAACIAAABkcnMvZG93bnJldi54bWxQSwECFAAUAAAACACHTuJAkm2u&#10;yq4BAABPAwAADgAAAAAAAAABACAAAAAlAQAAZHJzL2Uyb0RvYy54bWxQSwUGAAAAAAYABgBZAQAA&#10;RQUAAAAA&#10;">
                      <v:fill on="f" focussize="0,0"/>
                      <v:stroke on="f"/>
                      <v:imagedata o:title=""/>
                      <o:lock v:ext="edit" aspectratio="f"/>
                      <v:textbox>
                        <w:txbxContent>
                          <w:p>
                            <w:r>
                              <w:rPr>
                                <w:rFonts w:hint="eastAsia"/>
                              </w:rPr>
                              <w:t>评价工作等级</w:t>
                            </w:r>
                          </w:p>
                        </w:txbxContent>
                      </v:textbox>
                    </v:shape>
                  </w:pict>
                </mc:Fallback>
              </mc:AlternateContent>
            </w:r>
            <w:r>
              <w:rPr>
                <w:rFonts w:hint="eastAsia" w:eastAsia="黑体"/>
                <w:kern w:val="0"/>
                <w:sz w:val="24"/>
                <w:szCs w:val="22"/>
                <w:lang w:val="en-US" w:eastAsia="zh-CN"/>
              </w:rPr>
              <mc:AlternateContent>
                <mc:Choice Requires="wps">
                  <w:drawing>
                    <wp:anchor distT="0" distB="0" distL="114300" distR="114300" simplePos="0" relativeHeight="252455936" behindDoc="0" locked="0" layoutInCell="1" allowOverlap="1">
                      <wp:simplePos x="0" y="0"/>
                      <wp:positionH relativeFrom="column">
                        <wp:posOffset>685165</wp:posOffset>
                      </wp:positionH>
                      <wp:positionV relativeFrom="paragraph">
                        <wp:posOffset>264795</wp:posOffset>
                      </wp:positionV>
                      <wp:extent cx="755015" cy="440055"/>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755015" cy="440055"/>
                              </a:xfrm>
                              <a:prstGeom prst="rect">
                                <a:avLst/>
                              </a:prstGeom>
                              <a:noFill/>
                              <a:ln>
                                <a:noFill/>
                              </a:ln>
                            </wps:spPr>
                            <wps:txbx>
                              <w:txbxContent>
                                <w:p>
                                  <w:r>
                                    <w:rPr>
                                      <w:rFonts w:hint="eastAsia"/>
                                    </w:rPr>
                                    <w:t>占地</w:t>
                                  </w:r>
                                </w:p>
                                <w:p>
                                  <w:r>
                                    <w:rPr>
                                      <w:rFonts w:hint="eastAsia"/>
                                    </w:rPr>
                                    <w:t>规模</w:t>
                                  </w:r>
                                </w:p>
                              </w:txbxContent>
                            </wps:txbx>
                            <wps:bodyPr upright="1"/>
                          </wps:wsp>
                        </a:graphicData>
                      </a:graphic>
                    </wp:anchor>
                  </w:drawing>
                </mc:Choice>
                <mc:Fallback>
                  <w:pict>
                    <v:shape id="_x0000_s1026" o:spid="_x0000_s1026" o:spt="202" type="#_x0000_t202" style="position:absolute;left:0pt;margin-left:53.95pt;margin-top:20.85pt;height:34.65pt;width:59.45pt;z-index:252455936;mso-width-relative:page;mso-height-relative:page;" filled="f" stroked="f" coordsize="21600,21600" o:gfxdata="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nQpXLNYAAAAK&#10;AQAADwAAAAAAAAABACAAAAAiAAAAZHJzL2Rvd25yZXYueG1sUEsBAhQAFAAAAAgAh07iQJ9grras&#10;AQAATwMAAA4AAAAAAAAAAQAgAAAAJQEAAGRycy9lMm9Eb2MueG1sUEsFBgAAAAAGAAYAWQEAAEMF&#10;AAAAAA==&#10;">
                      <v:fill on="f" focussize="0,0"/>
                      <v:stroke on="f"/>
                      <v:imagedata o:title=""/>
                      <o:lock v:ext="edit" aspectratio="f"/>
                      <v:textbox>
                        <w:txbxContent>
                          <w:p>
                            <w:r>
                              <w:rPr>
                                <w:rFonts w:hint="eastAsia"/>
                              </w:rPr>
                              <w:t>占地</w:t>
                            </w:r>
                          </w:p>
                          <w:p>
                            <w:r>
                              <w:rPr>
                                <w:rFonts w:hint="eastAsia"/>
                              </w:rPr>
                              <w:t>规模</w:t>
                            </w:r>
                          </w:p>
                        </w:txbxContent>
                      </v:textbox>
                    </v:shape>
                  </w:pict>
                </mc:Fallback>
              </mc:AlternateContent>
            </w:r>
            <w:r>
              <w:rPr>
                <w:rFonts w:hint="eastAsia" w:eastAsia="黑体"/>
                <w:kern w:val="0"/>
                <w:sz w:val="24"/>
                <w:szCs w:val="22"/>
                <w:lang w:val="en-US" w:eastAsia="zh-CN"/>
              </w:rPr>
              <mc:AlternateContent>
                <mc:Choice Requires="wps">
                  <w:drawing>
                    <wp:anchor distT="0" distB="0" distL="114300" distR="114300" simplePos="0" relativeHeight="252452864" behindDoc="0" locked="0" layoutInCell="1" allowOverlap="1">
                      <wp:simplePos x="0" y="0"/>
                      <wp:positionH relativeFrom="column">
                        <wp:posOffset>539115</wp:posOffset>
                      </wp:positionH>
                      <wp:positionV relativeFrom="paragraph">
                        <wp:posOffset>322580</wp:posOffset>
                      </wp:positionV>
                      <wp:extent cx="541020" cy="704215"/>
                      <wp:effectExtent l="3810" t="3175" r="7620" b="16510"/>
                      <wp:wrapNone/>
                      <wp:docPr id="51" name="直接连接符 51"/>
                      <wp:cNvGraphicFramePr/>
                      <a:graphic xmlns:a="http://schemas.openxmlformats.org/drawingml/2006/main">
                        <a:graphicData uri="http://schemas.microsoft.com/office/word/2010/wordprocessingShape">
                          <wps:wsp>
                            <wps:cNvCnPr/>
                            <wps:spPr>
                              <a:xfrm>
                                <a:off x="0" y="0"/>
                                <a:ext cx="541020" cy="7042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45pt;margin-top:25.4pt;height:55.45pt;width:42.6pt;z-index:252452864;mso-width-relative:page;mso-height-relative:page;" filled="f" stroked="t" coordsize="21600,21600" o:gfxdata="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9sz321wAAAAkBAAAPAAAAAAAAAAEAIAAAACIAAABkcnMvZG93bnJldi54bWxQ&#10;SwECFAAUAAAACACHTuJAdierZfgBAADqAwAADgAAAAAAAAABACAAAAAmAQAAZHJzL2Uyb0RvYy54&#10;bWxQSwUGAAAAAAYABgBZAQAAkAUAAAAA&#10;">
                      <v:fill on="f" focussize="0,0"/>
                      <v:stroke color="#000000" joinstyle="round"/>
                      <v:imagedata o:title=""/>
                      <o:lock v:ext="edit" aspectratio="f"/>
                    </v:line>
                  </w:pict>
                </mc:Fallback>
              </mc:AlternateContent>
            </w:r>
            <w:r>
              <w:rPr>
                <w:rFonts w:hint="eastAsia" w:eastAsia="黑体"/>
                <w:kern w:val="0"/>
                <w:sz w:val="24"/>
                <w:szCs w:val="22"/>
                <w:lang w:val="en-US" w:eastAsia="zh-CN"/>
              </w:rPr>
              <w:t>表39     污染影响型评价工作等级划分表</w:t>
            </w:r>
          </w:p>
          <w:tbl>
            <w:tblPr>
              <w:tblStyle w:val="32"/>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70"/>
              <w:gridCol w:w="761"/>
              <w:gridCol w:w="796"/>
              <w:gridCol w:w="739"/>
              <w:gridCol w:w="750"/>
              <w:gridCol w:w="738"/>
              <w:gridCol w:w="704"/>
              <w:gridCol w:w="7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noWrap w:val="0"/>
                  <w:vAlign w:val="center"/>
                </w:tcPr>
                <w:p>
                  <w:pPr>
                    <w:pStyle w:val="18"/>
                    <w:jc w:val="center"/>
                    <w:rPr>
                      <w:sz w:val="21"/>
                      <w:szCs w:val="21"/>
                    </w:rPr>
                  </w:pPr>
                  <w:r>
                    <w:rPr>
                      <w:sz w:val="21"/>
                      <w:szCs w:val="21"/>
                    </w:rPr>
                    <mc:AlternateContent>
                      <mc:Choice Requires="wps">
                        <w:drawing>
                          <wp:anchor distT="0" distB="0" distL="114300" distR="114300" simplePos="0" relativeHeight="252459008" behindDoc="0" locked="0" layoutInCell="1" allowOverlap="1">
                            <wp:simplePos x="0" y="0"/>
                            <wp:positionH relativeFrom="column">
                              <wp:posOffset>-118745</wp:posOffset>
                            </wp:positionH>
                            <wp:positionV relativeFrom="paragraph">
                              <wp:posOffset>455295</wp:posOffset>
                            </wp:positionV>
                            <wp:extent cx="850265" cy="315595"/>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850265" cy="315595"/>
                                    </a:xfrm>
                                    <a:prstGeom prst="rect">
                                      <a:avLst/>
                                    </a:prstGeom>
                                    <a:noFill/>
                                    <a:ln>
                                      <a:noFill/>
                                    </a:ln>
                                  </wps:spPr>
                                  <wps:txbx>
                                    <w:txbxContent>
                                      <w:p>
                                        <w:r>
                                          <w:rPr>
                                            <w:rFonts w:hint="eastAsia"/>
                                          </w:rPr>
                                          <w:t>敏感程度</w:t>
                                        </w:r>
                                      </w:p>
                                    </w:txbxContent>
                                  </wps:txbx>
                                  <wps:bodyPr upright="1"/>
                                </wps:wsp>
                              </a:graphicData>
                            </a:graphic>
                          </wp:anchor>
                        </w:drawing>
                      </mc:Choice>
                      <mc:Fallback>
                        <w:pict>
                          <v:shape id="_x0000_s1026" o:spid="_x0000_s1026" o:spt="202" type="#_x0000_t202" style="position:absolute;left:0pt;margin-left:-9.35pt;margin-top:35.85pt;height:24.85pt;width:66.95pt;z-index:252459008;mso-width-relative:page;mso-height-relative:page;" filled="f" stroked="f" coordsize="21600,21600" o:gfxdata="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rXZDa1gAA&#10;AAoBAAAPAAAAAAAAAAEAIAAAACIAAABkcnMvZG93bnJldi54bWxQSwECFAAUAAAACACHTuJApA6o&#10;1a4BAABPAwAADgAAAAAAAAABACAAAAAlAQAAZHJzL2Uyb0RvYy54bWxQSwUGAAAAAAYABgBZAQAA&#10;RQUAAAAA&#10;">
                            <v:fill on="f" focussize="0,0"/>
                            <v:stroke on="f"/>
                            <v:imagedata o:title=""/>
                            <o:lock v:ext="edit" aspectratio="f"/>
                            <v:textbox>
                              <w:txbxContent>
                                <w:p>
                                  <w:r>
                                    <w:rPr>
                                      <w:rFonts w:hint="eastAsia"/>
                                    </w:rPr>
                                    <w:t>敏感程度</w:t>
                                  </w:r>
                                </w:p>
                              </w:txbxContent>
                            </v:textbox>
                          </v:shape>
                        </w:pict>
                      </mc:Fallback>
                    </mc:AlternateContent>
                  </w:r>
                  <w:r>
                    <w:rPr>
                      <w:sz w:val="21"/>
                      <w:szCs w:val="21"/>
                    </w:rPr>
                    <mc:AlternateContent>
                      <mc:Choice Requires="wps">
                        <w:drawing>
                          <wp:anchor distT="0" distB="0" distL="114300" distR="114300" simplePos="0" relativeHeight="252454912" behindDoc="0" locked="0" layoutInCell="1" allowOverlap="1">
                            <wp:simplePos x="0" y="0"/>
                            <wp:positionH relativeFrom="column">
                              <wp:posOffset>-68580</wp:posOffset>
                            </wp:positionH>
                            <wp:positionV relativeFrom="paragraph">
                              <wp:posOffset>287655</wp:posOffset>
                            </wp:positionV>
                            <wp:extent cx="1047750" cy="381000"/>
                            <wp:effectExtent l="1905" t="4445" r="17145" b="14605"/>
                            <wp:wrapNone/>
                            <wp:docPr id="55" name="直接连接符 55"/>
                            <wp:cNvGraphicFramePr/>
                            <a:graphic xmlns:a="http://schemas.openxmlformats.org/drawingml/2006/main">
                              <a:graphicData uri="http://schemas.microsoft.com/office/word/2010/wordprocessingShape">
                                <wps:wsp>
                                  <wps:cNvCnPr/>
                                  <wps:spPr>
                                    <a:xfrm>
                                      <a:off x="0" y="0"/>
                                      <a:ext cx="1047750" cy="3810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22.65pt;height:30pt;width:82.5pt;z-index:252454912;mso-width-relative:page;mso-height-relative:page;" filled="f" stroked="t" coordsize="21600,21600" o:gfxdata="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djC1HYAAAACgEAAA8AAAAAAAAAAQAgAAAAIgAAAGRycy9kb3ducmV2&#10;LnhtbFBLAQIUABQAAAAIAIdO4kDKnJR1/AEAAOsDAAAOAAAAAAAAAAEAIAAAACcBAABkcnMvZTJv&#10;RG9jLnhtbFBLBQYAAAAABgAGAFkBAACVBQAAAAA=&#10;">
                            <v:fill on="f" focussize="0,0"/>
                            <v:stroke color="#000000" joinstyle="round"/>
                            <v:imagedata o:title=""/>
                            <o:lock v:ext="edit" aspectratio="f"/>
                          </v:line>
                        </w:pict>
                      </mc:Fallback>
                    </mc:AlternateContent>
                  </w:r>
                </w:p>
              </w:tc>
              <w:tc>
                <w:tcPr>
                  <w:tcW w:w="2227" w:type="dxa"/>
                  <w:gridSpan w:val="3"/>
                  <w:noWrap w:val="0"/>
                  <w:vAlign w:val="center"/>
                </w:tcPr>
                <w:p>
                  <w:pPr>
                    <w:pStyle w:val="18"/>
                    <w:jc w:val="center"/>
                    <w:rPr>
                      <w:sz w:val="21"/>
                      <w:szCs w:val="21"/>
                    </w:rPr>
                  </w:pPr>
                  <w:r>
                    <w:rPr>
                      <w:sz w:val="21"/>
                      <w:szCs w:val="21"/>
                    </w:rPr>
                    <w:fldChar w:fldCharType="begin"/>
                  </w:r>
                  <w:r>
                    <w:rPr>
                      <w:sz w:val="21"/>
                      <w:szCs w:val="21"/>
                    </w:rPr>
                    <w:instrText xml:space="preserve"> = 1 \* ROMAN \* MERGEFORMAT </w:instrText>
                  </w:r>
                  <w:r>
                    <w:rPr>
                      <w:sz w:val="21"/>
                      <w:szCs w:val="21"/>
                    </w:rPr>
                    <w:fldChar w:fldCharType="separate"/>
                  </w:r>
                  <w:r>
                    <w:rPr>
                      <w:sz w:val="21"/>
                      <w:szCs w:val="21"/>
                    </w:rPr>
                    <w:t>I</w:t>
                  </w:r>
                  <w:r>
                    <w:rPr>
                      <w:sz w:val="21"/>
                      <w:szCs w:val="21"/>
                    </w:rPr>
                    <w:fldChar w:fldCharType="end"/>
                  </w:r>
                  <w:r>
                    <w:rPr>
                      <w:sz w:val="21"/>
                      <w:szCs w:val="21"/>
                    </w:rPr>
                    <w:t>类</w:t>
                  </w:r>
                </w:p>
              </w:tc>
              <w:tc>
                <w:tcPr>
                  <w:tcW w:w="2227" w:type="dxa"/>
                  <w:gridSpan w:val="3"/>
                  <w:noWrap w:val="0"/>
                  <w:vAlign w:val="center"/>
                </w:tcPr>
                <w:p>
                  <w:pPr>
                    <w:pStyle w:val="18"/>
                    <w:jc w:val="center"/>
                    <w:rPr>
                      <w:sz w:val="21"/>
                      <w:szCs w:val="21"/>
                    </w:rPr>
                  </w:pPr>
                  <w:r>
                    <w:rPr>
                      <w:sz w:val="21"/>
                      <w:szCs w:val="21"/>
                    </w:rPr>
                    <w:fldChar w:fldCharType="begin"/>
                  </w:r>
                  <w:r>
                    <w:rPr>
                      <w:sz w:val="21"/>
                      <w:szCs w:val="21"/>
                    </w:rPr>
                    <w:instrText xml:space="preserve"> = 2 \* ROMAN \* MERGEFORMAT </w:instrText>
                  </w:r>
                  <w:r>
                    <w:rPr>
                      <w:sz w:val="21"/>
                      <w:szCs w:val="21"/>
                    </w:rPr>
                    <w:fldChar w:fldCharType="separate"/>
                  </w:r>
                  <w:r>
                    <w:rPr>
                      <w:sz w:val="21"/>
                      <w:szCs w:val="21"/>
                    </w:rPr>
                    <w:t>II</w:t>
                  </w:r>
                  <w:r>
                    <w:rPr>
                      <w:sz w:val="21"/>
                      <w:szCs w:val="21"/>
                    </w:rPr>
                    <w:fldChar w:fldCharType="end"/>
                  </w:r>
                  <w:r>
                    <w:rPr>
                      <w:sz w:val="21"/>
                      <w:szCs w:val="21"/>
                    </w:rPr>
                    <w:t>类</w:t>
                  </w:r>
                </w:p>
              </w:tc>
              <w:tc>
                <w:tcPr>
                  <w:tcW w:w="2156" w:type="dxa"/>
                  <w:gridSpan w:val="3"/>
                  <w:noWrap w:val="0"/>
                  <w:vAlign w:val="center"/>
                </w:tcPr>
                <w:p>
                  <w:pPr>
                    <w:pStyle w:val="18"/>
                    <w:jc w:val="center"/>
                    <w:rPr>
                      <w:sz w:val="21"/>
                      <w:szCs w:val="21"/>
                    </w:rPr>
                  </w:pPr>
                  <w:r>
                    <w:rPr>
                      <w:sz w:val="21"/>
                      <w:szCs w:val="21"/>
                    </w:rPr>
                    <w:fldChar w:fldCharType="begin"/>
                  </w:r>
                  <w:r>
                    <w:rPr>
                      <w:sz w:val="21"/>
                      <w:szCs w:val="21"/>
                    </w:rPr>
                    <w:instrText xml:space="preserve"> = 3 \* ROMAN \* MERGEFORMAT </w:instrText>
                  </w:r>
                  <w:r>
                    <w:rPr>
                      <w:sz w:val="21"/>
                      <w:szCs w:val="21"/>
                    </w:rPr>
                    <w:fldChar w:fldCharType="separate"/>
                  </w:r>
                  <w:r>
                    <w:rPr>
                      <w:sz w:val="21"/>
                      <w:szCs w:val="21"/>
                    </w:rPr>
                    <w:t>III</w:t>
                  </w:r>
                  <w:r>
                    <w:rPr>
                      <w:sz w:val="21"/>
                      <w:szCs w:val="21"/>
                    </w:rPr>
                    <w:fldChar w:fldCharType="end"/>
                  </w:r>
                  <w:r>
                    <w:rPr>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noWrap w:val="0"/>
                  <w:vAlign w:val="center"/>
                </w:tcPr>
                <w:p>
                  <w:pPr>
                    <w:pStyle w:val="18"/>
                    <w:jc w:val="center"/>
                    <w:rPr>
                      <w:sz w:val="21"/>
                      <w:szCs w:val="21"/>
                    </w:rPr>
                  </w:pPr>
                </w:p>
              </w:tc>
              <w:tc>
                <w:tcPr>
                  <w:tcW w:w="670" w:type="dxa"/>
                  <w:noWrap w:val="0"/>
                  <w:vAlign w:val="center"/>
                </w:tcPr>
                <w:p>
                  <w:pPr>
                    <w:pStyle w:val="18"/>
                    <w:jc w:val="center"/>
                    <w:rPr>
                      <w:sz w:val="21"/>
                      <w:szCs w:val="21"/>
                    </w:rPr>
                  </w:pPr>
                  <w:r>
                    <w:rPr>
                      <w:sz w:val="21"/>
                      <w:szCs w:val="21"/>
                    </w:rPr>
                    <w:t>大</w:t>
                  </w:r>
                </w:p>
              </w:tc>
              <w:tc>
                <w:tcPr>
                  <w:tcW w:w="761" w:type="dxa"/>
                  <w:noWrap w:val="0"/>
                  <w:vAlign w:val="center"/>
                </w:tcPr>
                <w:p>
                  <w:pPr>
                    <w:pStyle w:val="18"/>
                    <w:jc w:val="center"/>
                    <w:rPr>
                      <w:sz w:val="21"/>
                      <w:szCs w:val="21"/>
                    </w:rPr>
                  </w:pPr>
                  <w:r>
                    <w:rPr>
                      <w:sz w:val="21"/>
                      <w:szCs w:val="21"/>
                    </w:rPr>
                    <w:t>中</w:t>
                  </w:r>
                </w:p>
              </w:tc>
              <w:tc>
                <w:tcPr>
                  <w:tcW w:w="796" w:type="dxa"/>
                  <w:noWrap w:val="0"/>
                  <w:vAlign w:val="center"/>
                </w:tcPr>
                <w:p>
                  <w:pPr>
                    <w:pStyle w:val="18"/>
                    <w:jc w:val="center"/>
                    <w:rPr>
                      <w:sz w:val="21"/>
                      <w:szCs w:val="21"/>
                    </w:rPr>
                  </w:pPr>
                  <w:r>
                    <w:rPr>
                      <w:sz w:val="21"/>
                      <w:szCs w:val="21"/>
                    </w:rPr>
                    <w:t>小</w:t>
                  </w:r>
                </w:p>
              </w:tc>
              <w:tc>
                <w:tcPr>
                  <w:tcW w:w="739" w:type="dxa"/>
                  <w:noWrap w:val="0"/>
                  <w:vAlign w:val="center"/>
                </w:tcPr>
                <w:p>
                  <w:pPr>
                    <w:pStyle w:val="18"/>
                    <w:jc w:val="center"/>
                    <w:rPr>
                      <w:sz w:val="21"/>
                      <w:szCs w:val="21"/>
                    </w:rPr>
                  </w:pPr>
                  <w:r>
                    <w:rPr>
                      <w:sz w:val="21"/>
                      <w:szCs w:val="21"/>
                    </w:rPr>
                    <w:t>大</w:t>
                  </w:r>
                </w:p>
              </w:tc>
              <w:tc>
                <w:tcPr>
                  <w:tcW w:w="750" w:type="dxa"/>
                  <w:noWrap w:val="0"/>
                  <w:vAlign w:val="center"/>
                </w:tcPr>
                <w:p>
                  <w:pPr>
                    <w:pStyle w:val="18"/>
                    <w:jc w:val="center"/>
                    <w:rPr>
                      <w:sz w:val="21"/>
                      <w:szCs w:val="21"/>
                    </w:rPr>
                  </w:pPr>
                  <w:r>
                    <w:rPr>
                      <w:sz w:val="21"/>
                      <w:szCs w:val="21"/>
                    </w:rPr>
                    <w:t>中</w:t>
                  </w:r>
                </w:p>
              </w:tc>
              <w:tc>
                <w:tcPr>
                  <w:tcW w:w="738" w:type="dxa"/>
                  <w:noWrap w:val="0"/>
                  <w:vAlign w:val="center"/>
                </w:tcPr>
                <w:p>
                  <w:pPr>
                    <w:pStyle w:val="18"/>
                    <w:jc w:val="center"/>
                    <w:rPr>
                      <w:sz w:val="21"/>
                      <w:szCs w:val="21"/>
                    </w:rPr>
                  </w:pPr>
                  <w:r>
                    <w:rPr>
                      <w:sz w:val="21"/>
                      <w:szCs w:val="21"/>
                    </w:rPr>
                    <w:t>小</w:t>
                  </w:r>
                </w:p>
              </w:tc>
              <w:tc>
                <w:tcPr>
                  <w:tcW w:w="704" w:type="dxa"/>
                  <w:noWrap w:val="0"/>
                  <w:vAlign w:val="center"/>
                </w:tcPr>
                <w:p>
                  <w:pPr>
                    <w:pStyle w:val="18"/>
                    <w:jc w:val="center"/>
                    <w:rPr>
                      <w:sz w:val="21"/>
                      <w:szCs w:val="21"/>
                    </w:rPr>
                  </w:pPr>
                  <w:r>
                    <w:rPr>
                      <w:sz w:val="21"/>
                      <w:szCs w:val="21"/>
                    </w:rPr>
                    <w:t>大</w:t>
                  </w:r>
                </w:p>
              </w:tc>
              <w:tc>
                <w:tcPr>
                  <w:tcW w:w="715" w:type="dxa"/>
                  <w:noWrap w:val="0"/>
                  <w:vAlign w:val="center"/>
                </w:tcPr>
                <w:p>
                  <w:pPr>
                    <w:pStyle w:val="18"/>
                    <w:jc w:val="center"/>
                    <w:rPr>
                      <w:sz w:val="21"/>
                      <w:szCs w:val="21"/>
                    </w:rPr>
                  </w:pPr>
                  <w:r>
                    <w:rPr>
                      <w:sz w:val="21"/>
                      <w:szCs w:val="21"/>
                    </w:rPr>
                    <w:t>中</w:t>
                  </w:r>
                </w:p>
              </w:tc>
              <w:tc>
                <w:tcPr>
                  <w:tcW w:w="737" w:type="dxa"/>
                  <w:noWrap w:val="0"/>
                  <w:vAlign w:val="center"/>
                </w:tcPr>
                <w:p>
                  <w:pPr>
                    <w:pStyle w:val="18"/>
                    <w:jc w:val="center"/>
                    <w:rPr>
                      <w:sz w:val="21"/>
                      <w:szCs w:val="21"/>
                    </w:rPr>
                  </w:pPr>
                  <w:r>
                    <w:rPr>
                      <w:sz w:val="21"/>
                      <w:szCs w:val="21"/>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noWrap w:val="0"/>
                  <w:vAlign w:val="center"/>
                </w:tcPr>
                <w:p>
                  <w:pPr>
                    <w:pStyle w:val="18"/>
                    <w:jc w:val="center"/>
                    <w:rPr>
                      <w:sz w:val="21"/>
                      <w:szCs w:val="21"/>
                    </w:rPr>
                  </w:pPr>
                  <w:r>
                    <w:rPr>
                      <w:sz w:val="21"/>
                      <w:szCs w:val="21"/>
                    </w:rPr>
                    <w:t>敏感</w:t>
                  </w:r>
                </w:p>
              </w:tc>
              <w:tc>
                <w:tcPr>
                  <w:tcW w:w="670" w:type="dxa"/>
                  <w:noWrap w:val="0"/>
                  <w:vAlign w:val="center"/>
                </w:tcPr>
                <w:p>
                  <w:pPr>
                    <w:pStyle w:val="18"/>
                    <w:jc w:val="center"/>
                    <w:rPr>
                      <w:sz w:val="18"/>
                      <w:szCs w:val="18"/>
                    </w:rPr>
                  </w:pPr>
                  <w:r>
                    <w:rPr>
                      <w:sz w:val="18"/>
                      <w:szCs w:val="18"/>
                    </w:rPr>
                    <w:t>一级</w:t>
                  </w:r>
                </w:p>
              </w:tc>
              <w:tc>
                <w:tcPr>
                  <w:tcW w:w="761" w:type="dxa"/>
                  <w:noWrap w:val="0"/>
                  <w:vAlign w:val="center"/>
                </w:tcPr>
                <w:p>
                  <w:pPr>
                    <w:pStyle w:val="18"/>
                    <w:jc w:val="center"/>
                    <w:rPr>
                      <w:sz w:val="18"/>
                      <w:szCs w:val="18"/>
                    </w:rPr>
                  </w:pPr>
                  <w:r>
                    <w:rPr>
                      <w:sz w:val="18"/>
                      <w:szCs w:val="18"/>
                    </w:rPr>
                    <w:t>一级</w:t>
                  </w:r>
                </w:p>
              </w:tc>
              <w:tc>
                <w:tcPr>
                  <w:tcW w:w="796" w:type="dxa"/>
                  <w:noWrap w:val="0"/>
                  <w:vAlign w:val="center"/>
                </w:tcPr>
                <w:p>
                  <w:pPr>
                    <w:pStyle w:val="18"/>
                    <w:jc w:val="center"/>
                    <w:rPr>
                      <w:sz w:val="18"/>
                      <w:szCs w:val="18"/>
                    </w:rPr>
                  </w:pPr>
                  <w:r>
                    <w:rPr>
                      <w:sz w:val="18"/>
                      <w:szCs w:val="18"/>
                    </w:rPr>
                    <w:t>一级</w:t>
                  </w:r>
                </w:p>
              </w:tc>
              <w:tc>
                <w:tcPr>
                  <w:tcW w:w="739" w:type="dxa"/>
                  <w:noWrap w:val="0"/>
                  <w:vAlign w:val="center"/>
                </w:tcPr>
                <w:p>
                  <w:pPr>
                    <w:pStyle w:val="18"/>
                    <w:jc w:val="center"/>
                    <w:rPr>
                      <w:sz w:val="18"/>
                      <w:szCs w:val="18"/>
                    </w:rPr>
                  </w:pPr>
                  <w:r>
                    <w:rPr>
                      <w:sz w:val="18"/>
                      <w:szCs w:val="18"/>
                    </w:rPr>
                    <w:t>二级</w:t>
                  </w:r>
                </w:p>
              </w:tc>
              <w:tc>
                <w:tcPr>
                  <w:tcW w:w="750" w:type="dxa"/>
                  <w:noWrap w:val="0"/>
                  <w:vAlign w:val="center"/>
                </w:tcPr>
                <w:p>
                  <w:pPr>
                    <w:pStyle w:val="18"/>
                    <w:jc w:val="center"/>
                    <w:rPr>
                      <w:sz w:val="18"/>
                      <w:szCs w:val="18"/>
                    </w:rPr>
                  </w:pPr>
                  <w:r>
                    <w:rPr>
                      <w:sz w:val="18"/>
                      <w:szCs w:val="18"/>
                    </w:rPr>
                    <w:t>二级</w:t>
                  </w:r>
                </w:p>
              </w:tc>
              <w:tc>
                <w:tcPr>
                  <w:tcW w:w="738" w:type="dxa"/>
                  <w:noWrap w:val="0"/>
                  <w:vAlign w:val="center"/>
                </w:tcPr>
                <w:p>
                  <w:pPr>
                    <w:pStyle w:val="18"/>
                    <w:jc w:val="center"/>
                    <w:rPr>
                      <w:sz w:val="18"/>
                      <w:szCs w:val="18"/>
                    </w:rPr>
                  </w:pPr>
                  <w:r>
                    <w:rPr>
                      <w:sz w:val="18"/>
                      <w:szCs w:val="18"/>
                    </w:rPr>
                    <w:t>二级</w:t>
                  </w:r>
                </w:p>
              </w:tc>
              <w:tc>
                <w:tcPr>
                  <w:tcW w:w="704" w:type="dxa"/>
                  <w:noWrap w:val="0"/>
                  <w:vAlign w:val="center"/>
                </w:tcPr>
                <w:p>
                  <w:pPr>
                    <w:pStyle w:val="18"/>
                    <w:jc w:val="center"/>
                    <w:rPr>
                      <w:sz w:val="18"/>
                      <w:szCs w:val="18"/>
                    </w:rPr>
                  </w:pPr>
                  <w:r>
                    <w:rPr>
                      <w:sz w:val="18"/>
                      <w:szCs w:val="18"/>
                    </w:rPr>
                    <w:t>三级</w:t>
                  </w:r>
                </w:p>
              </w:tc>
              <w:tc>
                <w:tcPr>
                  <w:tcW w:w="715" w:type="dxa"/>
                  <w:noWrap w:val="0"/>
                  <w:vAlign w:val="center"/>
                </w:tcPr>
                <w:p>
                  <w:pPr>
                    <w:pStyle w:val="18"/>
                    <w:jc w:val="center"/>
                    <w:rPr>
                      <w:sz w:val="18"/>
                      <w:szCs w:val="18"/>
                    </w:rPr>
                  </w:pPr>
                  <w:r>
                    <w:rPr>
                      <w:sz w:val="18"/>
                      <w:szCs w:val="18"/>
                    </w:rPr>
                    <w:t>三级</w:t>
                  </w:r>
                </w:p>
              </w:tc>
              <w:tc>
                <w:tcPr>
                  <w:tcW w:w="737" w:type="dxa"/>
                  <w:noWrap w:val="0"/>
                  <w:vAlign w:val="center"/>
                </w:tcPr>
                <w:p>
                  <w:pPr>
                    <w:pStyle w:val="18"/>
                    <w:jc w:val="center"/>
                    <w:rPr>
                      <w:sz w:val="18"/>
                      <w:szCs w:val="18"/>
                    </w:rPr>
                  </w:pPr>
                  <w:r>
                    <w:rPr>
                      <w:sz w:val="18"/>
                      <w:szCs w:val="18"/>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noWrap w:val="0"/>
                  <w:vAlign w:val="center"/>
                </w:tcPr>
                <w:p>
                  <w:pPr>
                    <w:pStyle w:val="18"/>
                    <w:jc w:val="center"/>
                    <w:rPr>
                      <w:sz w:val="21"/>
                      <w:szCs w:val="21"/>
                    </w:rPr>
                  </w:pPr>
                  <w:r>
                    <w:rPr>
                      <w:sz w:val="21"/>
                      <w:szCs w:val="21"/>
                    </w:rPr>
                    <w:t>较敏感</w:t>
                  </w:r>
                </w:p>
              </w:tc>
              <w:tc>
                <w:tcPr>
                  <w:tcW w:w="670" w:type="dxa"/>
                  <w:noWrap w:val="0"/>
                  <w:vAlign w:val="center"/>
                </w:tcPr>
                <w:p>
                  <w:pPr>
                    <w:pStyle w:val="18"/>
                    <w:jc w:val="center"/>
                    <w:rPr>
                      <w:sz w:val="18"/>
                      <w:szCs w:val="18"/>
                    </w:rPr>
                  </w:pPr>
                  <w:r>
                    <w:rPr>
                      <w:sz w:val="18"/>
                      <w:szCs w:val="18"/>
                    </w:rPr>
                    <w:t>一级</w:t>
                  </w:r>
                </w:p>
              </w:tc>
              <w:tc>
                <w:tcPr>
                  <w:tcW w:w="761" w:type="dxa"/>
                  <w:noWrap w:val="0"/>
                  <w:vAlign w:val="center"/>
                </w:tcPr>
                <w:p>
                  <w:pPr>
                    <w:pStyle w:val="18"/>
                    <w:jc w:val="center"/>
                    <w:rPr>
                      <w:sz w:val="18"/>
                      <w:szCs w:val="18"/>
                    </w:rPr>
                  </w:pPr>
                  <w:r>
                    <w:rPr>
                      <w:sz w:val="18"/>
                      <w:szCs w:val="18"/>
                    </w:rPr>
                    <w:t>一级</w:t>
                  </w:r>
                </w:p>
              </w:tc>
              <w:tc>
                <w:tcPr>
                  <w:tcW w:w="796" w:type="dxa"/>
                  <w:noWrap w:val="0"/>
                  <w:vAlign w:val="center"/>
                </w:tcPr>
                <w:p>
                  <w:pPr>
                    <w:pStyle w:val="18"/>
                    <w:jc w:val="center"/>
                    <w:rPr>
                      <w:sz w:val="18"/>
                      <w:szCs w:val="18"/>
                    </w:rPr>
                  </w:pPr>
                  <w:r>
                    <w:rPr>
                      <w:sz w:val="18"/>
                      <w:szCs w:val="18"/>
                    </w:rPr>
                    <w:t>一级</w:t>
                  </w:r>
                </w:p>
              </w:tc>
              <w:tc>
                <w:tcPr>
                  <w:tcW w:w="739" w:type="dxa"/>
                  <w:noWrap w:val="0"/>
                  <w:vAlign w:val="center"/>
                </w:tcPr>
                <w:p>
                  <w:pPr>
                    <w:pStyle w:val="18"/>
                    <w:jc w:val="center"/>
                    <w:rPr>
                      <w:sz w:val="18"/>
                      <w:szCs w:val="18"/>
                    </w:rPr>
                  </w:pPr>
                  <w:r>
                    <w:rPr>
                      <w:sz w:val="18"/>
                      <w:szCs w:val="18"/>
                    </w:rPr>
                    <w:t>二级</w:t>
                  </w:r>
                </w:p>
              </w:tc>
              <w:tc>
                <w:tcPr>
                  <w:tcW w:w="750" w:type="dxa"/>
                  <w:noWrap w:val="0"/>
                  <w:vAlign w:val="center"/>
                </w:tcPr>
                <w:p>
                  <w:pPr>
                    <w:pStyle w:val="18"/>
                    <w:jc w:val="center"/>
                    <w:rPr>
                      <w:sz w:val="18"/>
                      <w:szCs w:val="18"/>
                    </w:rPr>
                  </w:pPr>
                  <w:r>
                    <w:rPr>
                      <w:sz w:val="18"/>
                      <w:szCs w:val="18"/>
                    </w:rPr>
                    <w:t>二级</w:t>
                  </w:r>
                </w:p>
              </w:tc>
              <w:tc>
                <w:tcPr>
                  <w:tcW w:w="738" w:type="dxa"/>
                  <w:noWrap w:val="0"/>
                  <w:vAlign w:val="center"/>
                </w:tcPr>
                <w:p>
                  <w:pPr>
                    <w:pStyle w:val="18"/>
                    <w:jc w:val="center"/>
                    <w:rPr>
                      <w:sz w:val="18"/>
                      <w:szCs w:val="18"/>
                    </w:rPr>
                  </w:pPr>
                  <w:r>
                    <w:rPr>
                      <w:sz w:val="18"/>
                      <w:szCs w:val="18"/>
                    </w:rPr>
                    <w:t>三级</w:t>
                  </w:r>
                </w:p>
              </w:tc>
              <w:tc>
                <w:tcPr>
                  <w:tcW w:w="704" w:type="dxa"/>
                  <w:noWrap w:val="0"/>
                  <w:vAlign w:val="center"/>
                </w:tcPr>
                <w:p>
                  <w:pPr>
                    <w:pStyle w:val="18"/>
                    <w:jc w:val="center"/>
                    <w:rPr>
                      <w:sz w:val="18"/>
                      <w:szCs w:val="18"/>
                    </w:rPr>
                  </w:pPr>
                  <w:r>
                    <w:rPr>
                      <w:sz w:val="18"/>
                      <w:szCs w:val="18"/>
                    </w:rPr>
                    <w:t>三级</w:t>
                  </w:r>
                </w:p>
              </w:tc>
              <w:tc>
                <w:tcPr>
                  <w:tcW w:w="715" w:type="dxa"/>
                  <w:noWrap w:val="0"/>
                  <w:vAlign w:val="center"/>
                </w:tcPr>
                <w:p>
                  <w:pPr>
                    <w:pStyle w:val="18"/>
                    <w:jc w:val="center"/>
                    <w:rPr>
                      <w:sz w:val="18"/>
                      <w:szCs w:val="18"/>
                    </w:rPr>
                  </w:pPr>
                  <w:r>
                    <w:rPr>
                      <w:sz w:val="18"/>
                      <w:szCs w:val="18"/>
                    </w:rPr>
                    <w:t>三级</w:t>
                  </w:r>
                </w:p>
              </w:tc>
              <w:tc>
                <w:tcPr>
                  <w:tcW w:w="737" w:type="dxa"/>
                  <w:noWrap w:val="0"/>
                  <w:vAlign w:val="center"/>
                </w:tcPr>
                <w:p>
                  <w:pPr>
                    <w:pStyle w:val="18"/>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noWrap w:val="0"/>
                  <w:vAlign w:val="center"/>
                </w:tcPr>
                <w:p>
                  <w:pPr>
                    <w:pStyle w:val="18"/>
                    <w:jc w:val="center"/>
                    <w:rPr>
                      <w:sz w:val="21"/>
                      <w:szCs w:val="21"/>
                    </w:rPr>
                  </w:pPr>
                  <w:r>
                    <w:rPr>
                      <w:sz w:val="21"/>
                      <w:szCs w:val="21"/>
                    </w:rPr>
                    <w:t>不敏感</w:t>
                  </w:r>
                </w:p>
              </w:tc>
              <w:tc>
                <w:tcPr>
                  <w:tcW w:w="670" w:type="dxa"/>
                  <w:noWrap w:val="0"/>
                  <w:vAlign w:val="center"/>
                </w:tcPr>
                <w:p>
                  <w:pPr>
                    <w:pStyle w:val="18"/>
                    <w:jc w:val="center"/>
                    <w:rPr>
                      <w:sz w:val="18"/>
                      <w:szCs w:val="18"/>
                    </w:rPr>
                  </w:pPr>
                  <w:r>
                    <w:rPr>
                      <w:sz w:val="18"/>
                      <w:szCs w:val="18"/>
                    </w:rPr>
                    <w:t>一级</w:t>
                  </w:r>
                </w:p>
              </w:tc>
              <w:tc>
                <w:tcPr>
                  <w:tcW w:w="761" w:type="dxa"/>
                  <w:noWrap w:val="0"/>
                  <w:vAlign w:val="center"/>
                </w:tcPr>
                <w:p>
                  <w:pPr>
                    <w:pStyle w:val="18"/>
                    <w:jc w:val="center"/>
                    <w:rPr>
                      <w:sz w:val="18"/>
                      <w:szCs w:val="18"/>
                    </w:rPr>
                  </w:pPr>
                  <w:r>
                    <w:rPr>
                      <w:sz w:val="18"/>
                      <w:szCs w:val="18"/>
                    </w:rPr>
                    <w:t>二级</w:t>
                  </w:r>
                </w:p>
              </w:tc>
              <w:tc>
                <w:tcPr>
                  <w:tcW w:w="796" w:type="dxa"/>
                  <w:noWrap w:val="0"/>
                  <w:vAlign w:val="center"/>
                </w:tcPr>
                <w:p>
                  <w:pPr>
                    <w:pStyle w:val="18"/>
                    <w:jc w:val="center"/>
                    <w:rPr>
                      <w:sz w:val="18"/>
                      <w:szCs w:val="18"/>
                    </w:rPr>
                  </w:pPr>
                  <w:r>
                    <w:rPr>
                      <w:sz w:val="18"/>
                      <w:szCs w:val="18"/>
                    </w:rPr>
                    <w:t>二级</w:t>
                  </w:r>
                </w:p>
              </w:tc>
              <w:tc>
                <w:tcPr>
                  <w:tcW w:w="739" w:type="dxa"/>
                  <w:noWrap w:val="0"/>
                  <w:vAlign w:val="center"/>
                </w:tcPr>
                <w:p>
                  <w:pPr>
                    <w:pStyle w:val="18"/>
                    <w:jc w:val="center"/>
                    <w:rPr>
                      <w:sz w:val="18"/>
                      <w:szCs w:val="18"/>
                    </w:rPr>
                  </w:pPr>
                  <w:r>
                    <w:rPr>
                      <w:sz w:val="18"/>
                      <w:szCs w:val="18"/>
                    </w:rPr>
                    <w:t>二级</w:t>
                  </w:r>
                </w:p>
              </w:tc>
              <w:tc>
                <w:tcPr>
                  <w:tcW w:w="750" w:type="dxa"/>
                  <w:noWrap w:val="0"/>
                  <w:vAlign w:val="center"/>
                </w:tcPr>
                <w:p>
                  <w:pPr>
                    <w:pStyle w:val="18"/>
                    <w:jc w:val="center"/>
                    <w:rPr>
                      <w:sz w:val="18"/>
                      <w:szCs w:val="18"/>
                    </w:rPr>
                  </w:pPr>
                  <w:r>
                    <w:rPr>
                      <w:sz w:val="18"/>
                      <w:szCs w:val="18"/>
                    </w:rPr>
                    <w:t>三级</w:t>
                  </w:r>
                </w:p>
              </w:tc>
              <w:tc>
                <w:tcPr>
                  <w:tcW w:w="738" w:type="dxa"/>
                  <w:noWrap w:val="0"/>
                  <w:vAlign w:val="center"/>
                </w:tcPr>
                <w:p>
                  <w:pPr>
                    <w:pStyle w:val="18"/>
                    <w:jc w:val="center"/>
                    <w:rPr>
                      <w:sz w:val="18"/>
                      <w:szCs w:val="18"/>
                    </w:rPr>
                  </w:pPr>
                  <w:r>
                    <w:rPr>
                      <w:sz w:val="18"/>
                      <w:szCs w:val="18"/>
                    </w:rPr>
                    <w:t>三级</w:t>
                  </w:r>
                </w:p>
              </w:tc>
              <w:tc>
                <w:tcPr>
                  <w:tcW w:w="704" w:type="dxa"/>
                  <w:noWrap w:val="0"/>
                  <w:vAlign w:val="center"/>
                </w:tcPr>
                <w:p>
                  <w:pPr>
                    <w:pStyle w:val="18"/>
                    <w:jc w:val="center"/>
                    <w:rPr>
                      <w:sz w:val="18"/>
                      <w:szCs w:val="18"/>
                    </w:rPr>
                  </w:pPr>
                  <w:r>
                    <w:rPr>
                      <w:sz w:val="18"/>
                      <w:szCs w:val="18"/>
                    </w:rPr>
                    <w:t>三级</w:t>
                  </w:r>
                </w:p>
              </w:tc>
              <w:tc>
                <w:tcPr>
                  <w:tcW w:w="715" w:type="dxa"/>
                  <w:noWrap w:val="0"/>
                  <w:vAlign w:val="center"/>
                </w:tcPr>
                <w:p>
                  <w:pPr>
                    <w:pStyle w:val="18"/>
                    <w:jc w:val="center"/>
                    <w:rPr>
                      <w:sz w:val="21"/>
                      <w:szCs w:val="21"/>
                    </w:rPr>
                  </w:pPr>
                  <w:r>
                    <w:rPr>
                      <w:sz w:val="21"/>
                      <w:szCs w:val="21"/>
                    </w:rPr>
                    <w:t>-</w:t>
                  </w:r>
                </w:p>
              </w:tc>
              <w:tc>
                <w:tcPr>
                  <w:tcW w:w="737" w:type="dxa"/>
                  <w:noWrap w:val="0"/>
                  <w:vAlign w:val="center"/>
                </w:tcPr>
                <w:p>
                  <w:pPr>
                    <w:pStyle w:val="18"/>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gridSpan w:val="10"/>
                  <w:noWrap w:val="0"/>
                  <w:vAlign w:val="center"/>
                </w:tcPr>
                <w:p>
                  <w:pPr>
                    <w:pStyle w:val="18"/>
                    <w:jc w:val="center"/>
                    <w:rPr>
                      <w:sz w:val="21"/>
                      <w:szCs w:val="21"/>
                    </w:rPr>
                  </w:pPr>
                  <w:r>
                    <w:rPr>
                      <w:sz w:val="21"/>
                      <w:szCs w:val="21"/>
                    </w:rPr>
                    <w:t>注：“-”表示可不开展土壤环境影响评价工作</w:t>
                  </w:r>
                </w:p>
              </w:tc>
            </w:tr>
          </w:tbl>
          <w:p>
            <w:pPr>
              <w:spacing w:line="520" w:lineRule="exact"/>
              <w:ind w:firstLine="465"/>
              <w:rPr>
                <w:rFonts w:eastAsia="黑体"/>
                <w:b/>
                <w:bCs/>
                <w:sz w:val="24"/>
                <w:u w:val="single"/>
              </w:rPr>
            </w:pPr>
            <w:r>
              <w:rPr>
                <w:rFonts w:hint="eastAsia" w:eastAsia="黑体"/>
                <w:b/>
                <w:bCs/>
                <w:sz w:val="24"/>
                <w:u w:val="single"/>
              </w:rPr>
              <w:t>六</w:t>
            </w:r>
            <w:r>
              <w:rPr>
                <w:rFonts w:eastAsia="黑体"/>
                <w:b/>
                <w:bCs/>
                <w:sz w:val="24"/>
                <w:u w:val="single"/>
              </w:rPr>
              <w:t>、</w:t>
            </w:r>
            <w:r>
              <w:rPr>
                <w:rFonts w:hint="eastAsia" w:eastAsia="黑体"/>
                <w:b/>
                <w:bCs/>
                <w:sz w:val="24"/>
                <w:u w:val="single"/>
                <w:lang w:eastAsia="zh-CN"/>
              </w:rPr>
              <w:t>项目</w:t>
            </w:r>
            <w:r>
              <w:rPr>
                <w:rFonts w:eastAsia="黑体"/>
                <w:b/>
                <w:bCs/>
                <w:sz w:val="24"/>
                <w:u w:val="single"/>
              </w:rPr>
              <w:t>厂区平面布局合理性分析</w:t>
            </w:r>
          </w:p>
          <w:p>
            <w:pPr>
              <w:spacing w:line="520" w:lineRule="exact"/>
              <w:ind w:firstLine="465"/>
              <w:rPr>
                <w:sz w:val="24"/>
              </w:rPr>
            </w:pPr>
            <w:r>
              <w:rPr>
                <w:b/>
                <w:bCs/>
                <w:sz w:val="24"/>
                <w:u w:val="single"/>
              </w:rPr>
              <w:t>本项目选址位于</w:t>
            </w:r>
            <w:r>
              <w:rPr>
                <w:rFonts w:hint="eastAsia"/>
                <w:b/>
                <w:bCs/>
                <w:sz w:val="24"/>
                <w:u w:val="single"/>
              </w:rPr>
              <w:t>平顶山市鲁山县张良镇工业园区西南角</w:t>
            </w:r>
            <w:r>
              <w:rPr>
                <w:b/>
                <w:bCs/>
                <w:sz w:val="24"/>
                <w:u w:val="single"/>
              </w:rPr>
              <w:t>，本项目营运后原料全部入库存放，厂区不设置露天堆场，原料仓库与生产车间紧邻，原料仓库与生产车间</w:t>
            </w:r>
            <w:r>
              <w:rPr>
                <w:rFonts w:hint="eastAsia"/>
                <w:b/>
                <w:bCs/>
                <w:sz w:val="24"/>
                <w:u w:val="single"/>
                <w:lang w:eastAsia="zh-CN"/>
              </w:rPr>
              <w:t>全密闭，</w:t>
            </w:r>
            <w:r>
              <w:rPr>
                <w:b/>
                <w:bCs/>
                <w:sz w:val="24"/>
                <w:u w:val="single"/>
              </w:rPr>
              <w:t>可有效减少扬尘污染；</w:t>
            </w:r>
            <w:r>
              <w:rPr>
                <w:rFonts w:hint="eastAsia"/>
                <w:b/>
                <w:bCs/>
                <w:sz w:val="24"/>
                <w:u w:val="single"/>
                <w:lang w:eastAsia="zh-CN"/>
              </w:rPr>
              <w:t>成品暂存区位于生产车间南侧，厂区大门位于项目西南侧，方便成品的外运，</w:t>
            </w:r>
            <w:r>
              <w:rPr>
                <w:b/>
                <w:bCs/>
                <w:sz w:val="24"/>
                <w:u w:val="single"/>
              </w:rPr>
              <w:t>生产设备均放置于生产车间内，可有效减小设备噪声对周围声环境的影响；每个水泥罐顶部配套安装有袋式除尘器，可有效减小</w:t>
            </w:r>
            <w:r>
              <w:rPr>
                <w:rFonts w:hint="eastAsia"/>
                <w:b/>
                <w:bCs/>
                <w:sz w:val="24"/>
                <w:u w:val="single"/>
                <w:lang w:eastAsia="zh-CN"/>
              </w:rPr>
              <w:t>颗粒物</w:t>
            </w:r>
            <w:r>
              <w:rPr>
                <w:b/>
                <w:bCs/>
                <w:sz w:val="24"/>
                <w:u w:val="single"/>
              </w:rPr>
              <w:t>对周围环境空气的影响；厂区养护区及成品区为硬化地面，并采取专人清扫，定时洒水等措施降尘，以减小</w:t>
            </w:r>
            <w:r>
              <w:rPr>
                <w:rFonts w:hint="eastAsia"/>
                <w:b/>
                <w:bCs/>
                <w:sz w:val="24"/>
                <w:u w:val="single"/>
                <w:lang w:eastAsia="zh-CN"/>
              </w:rPr>
              <w:t>颗粒物</w:t>
            </w:r>
            <w:r>
              <w:rPr>
                <w:b/>
                <w:bCs/>
                <w:sz w:val="24"/>
                <w:u w:val="single"/>
              </w:rPr>
              <w:t>周围环境的影响。由此可知，本项目厂区平面布局合理，生产设施布局合理</w:t>
            </w:r>
            <w:r>
              <w:rPr>
                <w:sz w:val="24"/>
              </w:rPr>
              <w:t>。</w:t>
            </w:r>
          </w:p>
          <w:p>
            <w:pPr>
              <w:spacing w:line="520" w:lineRule="exact"/>
              <w:ind w:firstLine="465"/>
              <w:rPr>
                <w:rFonts w:eastAsia="黑体"/>
                <w:sz w:val="24"/>
              </w:rPr>
            </w:pPr>
            <w:r>
              <w:rPr>
                <w:rFonts w:hint="eastAsia" w:eastAsia="黑体"/>
                <w:sz w:val="24"/>
              </w:rPr>
              <w:t>七</w:t>
            </w:r>
            <w:r>
              <w:rPr>
                <w:rFonts w:eastAsia="黑体"/>
                <w:sz w:val="24"/>
              </w:rPr>
              <w:t>、选址可行性分析</w:t>
            </w:r>
          </w:p>
          <w:p>
            <w:pPr>
              <w:adjustRightInd w:val="0"/>
              <w:snapToGrid w:val="0"/>
              <w:spacing w:line="520" w:lineRule="exact"/>
              <w:ind w:firstLine="480" w:firstLineChars="200"/>
              <w:rPr>
                <w:bCs/>
                <w:sz w:val="24"/>
              </w:rPr>
            </w:pPr>
            <w:r>
              <w:rPr>
                <w:bCs/>
                <w:sz w:val="24"/>
              </w:rPr>
              <w:t>项目位于</w:t>
            </w:r>
            <w:r>
              <w:rPr>
                <w:rFonts w:hint="eastAsia"/>
                <w:bCs/>
                <w:sz w:val="24"/>
              </w:rPr>
              <w:t>平顶山市鲁山县张良镇工业园区西南角</w:t>
            </w:r>
            <w:r>
              <w:rPr>
                <w:bCs/>
                <w:sz w:val="24"/>
              </w:rPr>
              <w:t>，占地</w:t>
            </w:r>
            <w:r>
              <w:rPr>
                <w:rFonts w:hint="eastAsia"/>
                <w:sz w:val="24"/>
              </w:rPr>
              <w:t>66</w:t>
            </w:r>
            <w:r>
              <w:rPr>
                <w:sz w:val="24"/>
              </w:rPr>
              <w:t>00</w:t>
            </w:r>
            <w:r>
              <w:rPr>
                <w:bCs/>
                <w:sz w:val="24"/>
              </w:rPr>
              <w:t>m</w:t>
            </w:r>
            <w:r>
              <w:rPr>
                <w:bCs/>
                <w:sz w:val="24"/>
                <w:vertAlign w:val="superscript"/>
              </w:rPr>
              <w:t>2</w:t>
            </w:r>
            <w:r>
              <w:rPr>
                <w:bCs/>
                <w:sz w:val="24"/>
              </w:rPr>
              <w:t>。</w:t>
            </w:r>
          </w:p>
          <w:p>
            <w:pPr>
              <w:numPr>
                <w:ilvl w:val="0"/>
                <w:numId w:val="11"/>
                <w:numberingChange w:id="1" w:author="User" w:date="2018-01-04T16:12:00Z" w:original="（%1:1:0:）"/>
              </w:numPr>
              <w:adjustRightInd w:val="0"/>
              <w:snapToGrid w:val="0"/>
              <w:spacing w:line="520" w:lineRule="exact"/>
              <w:ind w:firstLine="480" w:firstLineChars="200"/>
              <w:rPr>
                <w:sz w:val="24"/>
              </w:rPr>
            </w:pPr>
            <w:r>
              <w:rPr>
                <w:rFonts w:hint="eastAsia"/>
                <w:color w:val="000000"/>
                <w:sz w:val="24"/>
              </w:rPr>
              <w:t>根据鲁山县张良镇国土规划环保办公室出具的证明，项目</w:t>
            </w:r>
            <w:r>
              <w:rPr>
                <w:color w:val="000000"/>
                <w:sz w:val="24"/>
              </w:rPr>
              <w:t>用地性质为工业用地</w:t>
            </w:r>
            <w:r>
              <w:rPr>
                <w:rFonts w:hint="eastAsia"/>
                <w:color w:val="000000"/>
                <w:sz w:val="24"/>
              </w:rPr>
              <w:t>，符合鲁山县张良镇总体规划</w:t>
            </w:r>
            <w:r>
              <w:rPr>
                <w:sz w:val="24"/>
              </w:rPr>
              <w:t>。根据张良镇总体规划（2014-2030）用地规划图，本项目地块用地性质为</w:t>
            </w:r>
            <w:r>
              <w:rPr>
                <w:rFonts w:hint="eastAsia"/>
                <w:sz w:val="24"/>
              </w:rPr>
              <w:t>工业</w:t>
            </w:r>
            <w:r>
              <w:rPr>
                <w:sz w:val="24"/>
              </w:rPr>
              <w:t>用地，符合张良镇总体规划</w:t>
            </w:r>
            <w:r>
              <w:rPr>
                <w:rFonts w:hint="eastAsia"/>
                <w:sz w:val="24"/>
              </w:rPr>
              <w:t>。</w:t>
            </w:r>
          </w:p>
          <w:p>
            <w:pPr>
              <w:numPr>
                <w:ilvl w:val="0"/>
                <w:numId w:val="11"/>
                <w:numberingChange w:id="2" w:author="User" w:date="2018-01-04T16:12:00Z" w:original="（%1:2:0:）"/>
              </w:numPr>
              <w:spacing w:line="520" w:lineRule="exact"/>
              <w:ind w:firstLine="480" w:firstLineChars="200"/>
              <w:rPr>
                <w:bCs/>
                <w:sz w:val="24"/>
              </w:rPr>
            </w:pPr>
            <w:r>
              <w:rPr>
                <w:bCs/>
                <w:color w:val="auto"/>
                <w:sz w:val="24"/>
              </w:rPr>
              <w:t>项目</w:t>
            </w:r>
            <w:r>
              <w:rPr>
                <w:color w:val="auto"/>
                <w:sz w:val="24"/>
              </w:rPr>
              <w:t>在昭平台水库的下游区域，不在昭平台水库地表水饮用水源一、二级保护区及准保护区范围内，</w:t>
            </w:r>
            <w:r>
              <w:rPr>
                <w:rFonts w:hint="eastAsia"/>
                <w:color w:val="auto"/>
                <w:sz w:val="24"/>
                <w:lang w:val="en-US" w:eastAsia="zh-CN"/>
              </w:rPr>
              <w:t>项目位于白龟山</w:t>
            </w:r>
            <w:r>
              <w:rPr>
                <w:color w:val="auto"/>
                <w:sz w:val="24"/>
              </w:rPr>
              <w:t>水库地表水饮用水源</w:t>
            </w:r>
            <w:r>
              <w:rPr>
                <w:rFonts w:hint="eastAsia"/>
                <w:color w:val="auto"/>
                <w:sz w:val="24"/>
                <w:lang w:val="en-US" w:eastAsia="zh-CN"/>
              </w:rPr>
              <w:t>准保护区内，无外排废水，对</w:t>
            </w:r>
            <w:r>
              <w:rPr>
                <w:color w:val="auto"/>
                <w:sz w:val="24"/>
              </w:rPr>
              <w:t>当地饮用水源</w:t>
            </w:r>
            <w:r>
              <w:rPr>
                <w:rFonts w:hint="eastAsia"/>
                <w:color w:val="auto"/>
                <w:sz w:val="24"/>
                <w:lang w:val="en-US" w:eastAsia="zh-CN"/>
              </w:rPr>
              <w:t>影响较小</w:t>
            </w:r>
            <w:r>
              <w:rPr>
                <w:color w:val="auto"/>
                <w:sz w:val="24"/>
              </w:rPr>
              <w:t>。</w:t>
            </w:r>
            <w:r>
              <w:rPr>
                <w:sz w:val="24"/>
              </w:rPr>
              <w:t>根据沙河饮用水源保护区划分示意图，项目不在其饮用水源保护区范围内</w:t>
            </w:r>
            <w:r>
              <w:rPr>
                <w:bCs/>
                <w:sz w:val="24"/>
              </w:rPr>
              <w:t>。</w:t>
            </w:r>
          </w:p>
          <w:p>
            <w:pPr>
              <w:numPr>
                <w:ilvl w:val="0"/>
                <w:numId w:val="11"/>
                <w:numberingChange w:id="3" w:author="User" w:date="2018-01-04T16:12:00Z" w:original="（%1:3:0:）"/>
              </w:numPr>
              <w:spacing w:line="520" w:lineRule="exact"/>
              <w:ind w:firstLine="480" w:firstLineChars="200"/>
              <w:rPr>
                <w:sz w:val="24"/>
              </w:rPr>
            </w:pPr>
            <w:r>
              <w:rPr>
                <w:sz w:val="24"/>
              </w:rPr>
              <w:t>项目周边1000m范围内无列入《国家重点保护野生植物名录》和《国家重点保护野生动物名录》的动植物，周围最近500m范围内无发现的文物古迹。</w:t>
            </w:r>
          </w:p>
          <w:p>
            <w:pPr>
              <w:adjustRightInd w:val="0"/>
              <w:snapToGrid w:val="0"/>
              <w:spacing w:line="520" w:lineRule="exact"/>
              <w:ind w:firstLine="480" w:firstLineChars="200"/>
              <w:rPr>
                <w:bCs/>
                <w:sz w:val="24"/>
              </w:rPr>
            </w:pPr>
            <w:r>
              <w:rPr>
                <w:bCs/>
                <w:sz w:val="24"/>
              </w:rPr>
              <w:t>（4）项目厂址处交通便利，水电供应充足，厂区平面布置基本合理。</w:t>
            </w:r>
          </w:p>
          <w:p>
            <w:pPr>
              <w:adjustRightInd w:val="0"/>
              <w:snapToGrid w:val="0"/>
              <w:spacing w:line="520" w:lineRule="exact"/>
              <w:ind w:firstLine="480" w:firstLineChars="200"/>
              <w:rPr>
                <w:bCs/>
                <w:sz w:val="24"/>
              </w:rPr>
            </w:pPr>
            <w:r>
              <w:rPr>
                <w:bCs/>
                <w:sz w:val="24"/>
              </w:rPr>
              <w:t>（5）在采取评价要求和建议的防治措施后，各污染物均达标排放或综合利用，对区域环境影响不大，区域环境仍可保持现有功能水平。</w:t>
            </w:r>
          </w:p>
          <w:p>
            <w:pPr>
              <w:adjustRightInd w:val="0"/>
              <w:snapToGrid w:val="0"/>
              <w:spacing w:line="520" w:lineRule="exact"/>
              <w:ind w:firstLine="480" w:firstLineChars="200"/>
              <w:rPr>
                <w:bCs/>
                <w:sz w:val="24"/>
              </w:rPr>
            </w:pPr>
            <w:r>
              <w:rPr>
                <w:bCs/>
                <w:sz w:val="24"/>
              </w:rPr>
              <w:t>综上，从项目建设和环保角度来看，项目厂址可行。</w:t>
            </w:r>
          </w:p>
          <w:p>
            <w:pPr>
              <w:spacing w:line="520" w:lineRule="exact"/>
              <w:ind w:firstLine="465"/>
              <w:rPr>
                <w:rFonts w:eastAsia="黑体"/>
                <w:sz w:val="24"/>
              </w:rPr>
            </w:pPr>
            <w:r>
              <w:rPr>
                <w:rFonts w:hint="eastAsia" w:eastAsia="黑体"/>
                <w:sz w:val="24"/>
              </w:rPr>
              <w:t>八</w:t>
            </w:r>
            <w:r>
              <w:rPr>
                <w:rFonts w:eastAsia="黑体"/>
                <w:sz w:val="24"/>
              </w:rPr>
              <w:t>、环境管理及监测</w:t>
            </w:r>
          </w:p>
          <w:p>
            <w:pPr>
              <w:spacing w:line="520" w:lineRule="exact"/>
              <w:ind w:firstLine="465"/>
              <w:rPr>
                <w:rFonts w:eastAsia="黑体"/>
                <w:sz w:val="24"/>
              </w:rPr>
            </w:pPr>
            <w:r>
              <w:rPr>
                <w:rFonts w:hint="eastAsia" w:eastAsia="黑体"/>
                <w:sz w:val="24"/>
              </w:rPr>
              <w:t>8</w:t>
            </w:r>
            <w:r>
              <w:rPr>
                <w:rFonts w:eastAsia="黑体"/>
                <w:sz w:val="24"/>
              </w:rPr>
              <w:t>.1 环境管理</w:t>
            </w:r>
          </w:p>
          <w:p>
            <w:pPr>
              <w:spacing w:line="520" w:lineRule="exact"/>
              <w:ind w:firstLine="436" w:firstLineChars="182"/>
              <w:rPr>
                <w:kern w:val="0"/>
                <w:sz w:val="24"/>
              </w:rPr>
            </w:pPr>
            <w:r>
              <w:rPr>
                <w:kern w:val="0"/>
                <w:sz w:val="24"/>
              </w:rPr>
              <w:t>（1）环境管理机构及职责</w:t>
            </w:r>
          </w:p>
          <w:p>
            <w:pPr>
              <w:spacing w:line="520" w:lineRule="exact"/>
              <w:ind w:firstLine="436" w:firstLineChars="182"/>
              <w:rPr>
                <w:kern w:val="0"/>
                <w:sz w:val="24"/>
              </w:rPr>
            </w:pPr>
            <w:r>
              <w:rPr>
                <w:kern w:val="0"/>
                <w:sz w:val="24"/>
              </w:rPr>
              <w:t>环境管理是以环境科学理论为基础，运用经济、法律、技术、行政、教育等手段对经济、社会发展过程中施加给环境的影响进行调节控制，实现经济、社会、环境效益的和谐统一。</w:t>
            </w:r>
          </w:p>
          <w:p>
            <w:pPr>
              <w:spacing w:line="520" w:lineRule="exact"/>
              <w:ind w:firstLine="436" w:firstLineChars="182"/>
              <w:rPr>
                <w:kern w:val="0"/>
                <w:sz w:val="24"/>
              </w:rPr>
            </w:pPr>
            <w:r>
              <w:rPr>
                <w:kern w:val="0"/>
                <w:sz w:val="24"/>
              </w:rPr>
              <w:t>为将环境保护纳入企业的管理和生产计划并制定合理的污染控制指标，使企业排污符合国家有关排放标准，评价要求建设单位设立专职的环保岗位，承担企业的环境管理、环境监测与污染治理等工作。主要职责包括：①贯彻执行国家与地方制定的有关环境保护法律与政策，处理生产中发生的环境问题，制定可操作的环保管理制度；②建立生产车间各污染源档案和环保设施的运行记录；③负责监督检查袋式除尘器等环保设施的运行状况、治理效果，出现问题及时检修，安排落实环保设施的日常维护和维修；④做好工程无组织废气的控制措施，减少无组织排放。</w:t>
            </w:r>
          </w:p>
          <w:p>
            <w:pPr>
              <w:spacing w:line="520" w:lineRule="exact"/>
              <w:ind w:firstLine="436" w:firstLineChars="182"/>
              <w:rPr>
                <w:kern w:val="0"/>
                <w:sz w:val="24"/>
              </w:rPr>
            </w:pPr>
            <w:r>
              <w:rPr>
                <w:kern w:val="0"/>
                <w:sz w:val="24"/>
              </w:rPr>
              <w:t>（2）环保管理制度</w:t>
            </w:r>
          </w:p>
          <w:p>
            <w:pPr>
              <w:spacing w:line="520" w:lineRule="exact"/>
              <w:ind w:firstLine="436" w:firstLineChars="182"/>
              <w:rPr>
                <w:kern w:val="0"/>
                <w:sz w:val="24"/>
              </w:rPr>
            </w:pPr>
            <w:r>
              <w:rPr>
                <w:kern w:val="0"/>
                <w:sz w:val="24"/>
              </w:rPr>
              <w:t>为做好企业的环境管理工作，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p>
          <w:p>
            <w:pPr>
              <w:spacing w:line="520" w:lineRule="exact"/>
              <w:ind w:firstLine="436" w:firstLineChars="182"/>
              <w:rPr>
                <w:kern w:val="0"/>
                <w:sz w:val="24"/>
              </w:rPr>
            </w:pPr>
            <w:r>
              <w:rPr>
                <w:kern w:val="0"/>
                <w:sz w:val="24"/>
              </w:rPr>
              <w:t>（3）总量控制指标</w:t>
            </w:r>
          </w:p>
          <w:p>
            <w:pPr>
              <w:spacing w:line="440" w:lineRule="exact"/>
              <w:ind w:firstLine="360" w:firstLineChars="150"/>
              <w:rPr>
                <w:sz w:val="24"/>
              </w:rPr>
            </w:pPr>
            <w:r>
              <w:rPr>
                <w:kern w:val="0"/>
                <w:sz w:val="24"/>
              </w:rPr>
              <w:t>根据项目排污特点，</w:t>
            </w:r>
            <w:r>
              <w:rPr>
                <w:bCs/>
                <w:sz w:val="24"/>
              </w:rPr>
              <w:t>项目运营期无当前国家规划中总量控制的污染物SO</w:t>
            </w:r>
            <w:r>
              <w:rPr>
                <w:bCs/>
                <w:sz w:val="24"/>
                <w:vertAlign w:val="subscript"/>
              </w:rPr>
              <w:t>2</w:t>
            </w:r>
            <w:r>
              <w:rPr>
                <w:bCs/>
                <w:sz w:val="24"/>
              </w:rPr>
              <w:t>、NOx、COD、NH</w:t>
            </w:r>
            <w:r>
              <w:rPr>
                <w:bCs/>
                <w:sz w:val="24"/>
                <w:vertAlign w:val="subscript"/>
              </w:rPr>
              <w:t>3</w:t>
            </w:r>
            <w:r>
              <w:rPr>
                <w:bCs/>
                <w:sz w:val="24"/>
              </w:rPr>
              <w:t>-N的排放，因此，本项目暂不设总量控制指标。</w:t>
            </w:r>
          </w:p>
          <w:p>
            <w:pPr>
              <w:spacing w:line="520" w:lineRule="exact"/>
              <w:ind w:firstLine="465"/>
              <w:rPr>
                <w:rFonts w:eastAsia="黑体"/>
                <w:sz w:val="24"/>
              </w:rPr>
            </w:pPr>
            <w:r>
              <w:rPr>
                <w:rFonts w:hint="eastAsia" w:eastAsia="黑体"/>
                <w:sz w:val="24"/>
              </w:rPr>
              <w:t>8</w:t>
            </w:r>
            <w:r>
              <w:rPr>
                <w:rFonts w:eastAsia="黑体"/>
                <w:sz w:val="24"/>
              </w:rPr>
              <w:t>.2环境监测</w:t>
            </w:r>
          </w:p>
          <w:p>
            <w:pPr>
              <w:spacing w:line="520" w:lineRule="exact"/>
              <w:ind w:firstLine="436" w:firstLineChars="182"/>
              <w:rPr>
                <w:kern w:val="0"/>
                <w:sz w:val="24"/>
              </w:rPr>
            </w:pPr>
            <w:r>
              <w:rPr>
                <w:bCs/>
                <w:kern w:val="0"/>
                <w:sz w:val="24"/>
                <w:szCs w:val="20"/>
              </w:rPr>
              <w:t>依据《排污单位自行监测技术指南  总则》（HJ819-2017），</w:t>
            </w:r>
            <w:r>
              <w:rPr>
                <w:bCs/>
                <w:kern w:val="0"/>
                <w:sz w:val="24"/>
              </w:rPr>
              <w:t>根据装置运行状况及污染物排放情况，对项目环保设施运行情况进行及时监督，并对各类污染物排放进行精确监测，为确保工程投运后工业“三废”达标排放，以及安全运行提供科学依据。</w:t>
            </w:r>
            <w:r>
              <w:rPr>
                <w:bCs/>
                <w:kern w:val="0"/>
                <w:sz w:val="24"/>
                <w:szCs w:val="20"/>
              </w:rPr>
              <w:t>根据本项目运营期产污特点，结合项目工程周围环境实际情况，制定项目运行期环境监测计划。</w:t>
            </w:r>
            <w:r>
              <w:rPr>
                <w:kern w:val="0"/>
                <w:sz w:val="24"/>
              </w:rPr>
              <w:t>具体监测内容详见下表。</w:t>
            </w:r>
          </w:p>
          <w:p>
            <w:pPr>
              <w:numPr>
                <w:ilvl w:val="0"/>
                <w:numId w:val="0"/>
              </w:numPr>
              <w:autoSpaceDE w:val="0"/>
              <w:autoSpaceDN w:val="0"/>
              <w:adjustRightInd w:val="0"/>
              <w:spacing w:line="520" w:lineRule="exact"/>
              <w:ind w:leftChars="200" w:firstLine="720" w:firstLineChars="3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40</w:t>
            </w:r>
            <w:r>
              <w:rPr>
                <w:rFonts w:eastAsia="黑体"/>
                <w:kern w:val="0"/>
                <w:sz w:val="24"/>
                <w:lang w:val="zh-CN"/>
              </w:rPr>
              <w:t xml:space="preserve">  </w:t>
            </w:r>
            <w:r>
              <w:rPr>
                <w:rFonts w:hint="eastAsia" w:eastAsia="黑体"/>
                <w:kern w:val="0"/>
                <w:sz w:val="24"/>
                <w:lang w:val="en-US" w:eastAsia="zh-CN"/>
              </w:rPr>
              <w:t xml:space="preserve"> </w:t>
            </w:r>
            <w:r>
              <w:rPr>
                <w:rFonts w:eastAsia="黑体"/>
                <w:kern w:val="0"/>
                <w:sz w:val="24"/>
                <w:lang w:val="zh-CN"/>
              </w:rPr>
              <w:t xml:space="preserve">  工程运营期环境监测计划表</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05"/>
              <w:gridCol w:w="2561"/>
              <w:gridCol w:w="1487"/>
              <w:gridCol w:w="2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305" w:type="dxa"/>
                  <w:gridSpan w:val="2"/>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类别</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监测点位</w:t>
                  </w:r>
                </w:p>
              </w:tc>
              <w:tc>
                <w:tcPr>
                  <w:tcW w:w="148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监测因子</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监测频率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Merge w:val="restart"/>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废气</w:t>
                  </w:r>
                </w:p>
              </w:tc>
              <w:tc>
                <w:tcPr>
                  <w:tcW w:w="1405"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有组织废气</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rPr>
                    <w:t>排气筒进出口</w:t>
                  </w:r>
                </w:p>
              </w:tc>
              <w:tc>
                <w:tcPr>
                  <w:tcW w:w="1487" w:type="dxa"/>
                  <w:noWrap w:val="0"/>
                  <w:vAlign w:val="center"/>
                </w:tcPr>
                <w:p>
                  <w:pPr>
                    <w:spacing w:line="360" w:lineRule="exact"/>
                    <w:jc w:val="center"/>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PM</w:t>
                  </w:r>
                  <w:r>
                    <w:rPr>
                      <w:rFonts w:hint="default" w:ascii="Times New Roman" w:hAnsi="Times New Roman" w:eastAsia="宋体" w:cs="Times New Roman"/>
                      <w:b w:val="0"/>
                      <w:bCs w:val="0"/>
                      <w:sz w:val="21"/>
                      <w:szCs w:val="21"/>
                      <w:u w:val="none"/>
                      <w:vertAlign w:val="subscript"/>
                    </w:rPr>
                    <w:t>10</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eastAsia" w:ascii="Times New Roman" w:hAnsi="Times New Roman" w:eastAsia="宋体" w:cs="Times New Roman"/>
                      <w:b w:val="0"/>
                      <w:bCs w:val="0"/>
                      <w:sz w:val="21"/>
                      <w:szCs w:val="21"/>
                      <w:u w:val="none"/>
                      <w:lang w:eastAsia="zh-CN"/>
                    </w:rPr>
                    <w:t>半年</w:t>
                  </w:r>
                  <w:r>
                    <w:rPr>
                      <w:rFonts w:hint="eastAsia" w:ascii="Times New Roman" w:hAnsi="Times New Roman" w:eastAsia="宋体" w:cs="Times New Roman"/>
                      <w:b w:val="0"/>
                      <w:bCs w:val="0"/>
                      <w:sz w:val="21"/>
                      <w:szCs w:val="21"/>
                      <w:u w:val="none"/>
                      <w:lang w:val="en-US" w:eastAsia="zh-CN"/>
                    </w:rPr>
                    <w:t>1次</w:t>
                  </w:r>
                  <w:r>
                    <w:rPr>
                      <w:rFonts w:hint="default" w:ascii="Times New Roman" w:hAnsi="Times New Roman" w:eastAsia="宋体" w:cs="Times New Roman"/>
                      <w:b w:val="0"/>
                      <w:bCs w:val="0"/>
                      <w:sz w:val="21"/>
                      <w:szCs w:val="21"/>
                      <w:u w:val="none"/>
                    </w:rPr>
                    <w:t>，每次2天，每天采样3次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Merge w:val="continue"/>
                  <w:noWrap w:val="0"/>
                  <w:vAlign w:val="center"/>
                </w:tcPr>
                <w:p>
                  <w:pPr>
                    <w:pStyle w:val="29"/>
                    <w:spacing w:line="360" w:lineRule="exact"/>
                    <w:rPr>
                      <w:rFonts w:hint="default" w:ascii="Times New Roman" w:hAnsi="Times New Roman" w:eastAsia="宋体" w:cs="Times New Roman"/>
                      <w:b w:val="0"/>
                      <w:bCs w:val="0"/>
                      <w:sz w:val="21"/>
                      <w:szCs w:val="21"/>
                      <w:u w:val="none"/>
                    </w:rPr>
                  </w:pPr>
                </w:p>
              </w:tc>
              <w:tc>
                <w:tcPr>
                  <w:tcW w:w="1405"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无组织废气</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lang w:eastAsia="zh-CN"/>
                    </w:rPr>
                    <w:t>厂区</w:t>
                  </w:r>
                  <w:r>
                    <w:rPr>
                      <w:rFonts w:hint="default" w:ascii="Times New Roman" w:hAnsi="Times New Roman" w:eastAsia="宋体" w:cs="Times New Roman"/>
                      <w:b w:val="0"/>
                      <w:bCs w:val="0"/>
                      <w:sz w:val="21"/>
                      <w:szCs w:val="21"/>
                      <w:u w:val="none"/>
                    </w:rPr>
                    <w:t>上风向1个点位，下风向3个点位（根据监测当天风向确定）</w:t>
                  </w:r>
                </w:p>
              </w:tc>
              <w:tc>
                <w:tcPr>
                  <w:tcW w:w="1487" w:type="dxa"/>
                  <w:noWrap w:val="0"/>
                  <w:vAlign w:val="center"/>
                </w:tcPr>
                <w:p>
                  <w:pPr>
                    <w:pStyle w:val="29"/>
                    <w:spacing w:line="360" w:lineRule="exact"/>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TSP</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eastAsia" w:ascii="Times New Roman" w:hAnsi="Times New Roman" w:eastAsia="宋体" w:cs="Times New Roman"/>
                      <w:b w:val="0"/>
                      <w:bCs w:val="0"/>
                      <w:sz w:val="21"/>
                      <w:szCs w:val="21"/>
                      <w:u w:val="none"/>
                      <w:lang w:eastAsia="zh-CN"/>
                    </w:rPr>
                    <w:t>半年</w:t>
                  </w:r>
                  <w:r>
                    <w:rPr>
                      <w:rFonts w:hint="eastAsia" w:ascii="Times New Roman" w:hAnsi="Times New Roman" w:eastAsia="宋体" w:cs="Times New Roman"/>
                      <w:b w:val="0"/>
                      <w:bCs w:val="0"/>
                      <w:sz w:val="21"/>
                      <w:szCs w:val="21"/>
                      <w:u w:val="none"/>
                      <w:lang w:val="en-US" w:eastAsia="zh-CN"/>
                    </w:rPr>
                    <w:t>1次</w:t>
                  </w:r>
                  <w:r>
                    <w:rPr>
                      <w:rFonts w:hint="default" w:ascii="Times New Roman" w:hAnsi="Times New Roman" w:eastAsia="宋体" w:cs="Times New Roman"/>
                      <w:b w:val="0"/>
                      <w:bCs w:val="0"/>
                      <w:sz w:val="21"/>
                      <w:szCs w:val="21"/>
                      <w:u w:val="none"/>
                    </w:rPr>
                    <w:t>，每次2天，每天等时间间隔采样4次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噪声</w:t>
                  </w:r>
                </w:p>
              </w:tc>
              <w:tc>
                <w:tcPr>
                  <w:tcW w:w="1405"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噪声</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厂界四周</w:t>
                  </w:r>
                </w:p>
              </w:tc>
              <w:tc>
                <w:tcPr>
                  <w:tcW w:w="148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等效A声级</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每</w:t>
                  </w:r>
                  <w:r>
                    <w:rPr>
                      <w:rFonts w:hint="default" w:ascii="Times New Roman" w:hAnsi="Times New Roman" w:eastAsia="宋体" w:cs="Times New Roman"/>
                      <w:b w:val="0"/>
                      <w:bCs w:val="0"/>
                      <w:sz w:val="21"/>
                      <w:szCs w:val="21"/>
                      <w:u w:val="none"/>
                      <w:lang w:eastAsia="zh-CN"/>
                    </w:rPr>
                    <w:t>年</w:t>
                  </w:r>
                  <w:r>
                    <w:rPr>
                      <w:rFonts w:hint="default" w:ascii="Times New Roman" w:hAnsi="Times New Roman" w:eastAsia="宋体" w:cs="Times New Roman"/>
                      <w:b w:val="0"/>
                      <w:bCs w:val="0"/>
                      <w:sz w:val="21"/>
                      <w:szCs w:val="21"/>
                      <w:u w:val="none"/>
                    </w:rPr>
                    <w:t>监测一次，每次2天，每天昼夜各一次</w:t>
                  </w:r>
                </w:p>
              </w:tc>
            </w:tr>
          </w:tbl>
          <w:p>
            <w:pPr>
              <w:spacing w:line="520" w:lineRule="exact"/>
              <w:ind w:firstLine="465"/>
              <w:rPr>
                <w:rFonts w:eastAsia="黑体"/>
                <w:sz w:val="24"/>
              </w:rPr>
            </w:pPr>
            <w:r>
              <w:rPr>
                <w:rFonts w:hint="eastAsia" w:eastAsia="黑体"/>
                <w:sz w:val="24"/>
              </w:rPr>
              <w:t>九</w:t>
            </w:r>
            <w:r>
              <w:rPr>
                <w:rFonts w:eastAsia="黑体"/>
                <w:sz w:val="24"/>
              </w:rPr>
              <w:t>、环保投资及竣工验收一览表</w:t>
            </w:r>
          </w:p>
          <w:p>
            <w:pPr>
              <w:spacing w:line="520" w:lineRule="exact"/>
              <w:ind w:firstLine="480" w:firstLineChars="200"/>
              <w:rPr>
                <w:sz w:val="24"/>
              </w:rPr>
            </w:pPr>
            <w:r>
              <w:rPr>
                <w:sz w:val="24"/>
              </w:rPr>
              <w:t>本项目总投资</w:t>
            </w:r>
            <w:r>
              <w:rPr>
                <w:rFonts w:hint="eastAsia"/>
                <w:sz w:val="24"/>
              </w:rPr>
              <w:t>1</w:t>
            </w:r>
            <w:r>
              <w:rPr>
                <w:sz w:val="24"/>
              </w:rPr>
              <w:t>00万元，其中环保投资</w:t>
            </w:r>
            <w:r>
              <w:rPr>
                <w:rFonts w:hint="eastAsia"/>
                <w:sz w:val="24"/>
                <w:lang w:val="en-US" w:eastAsia="zh-CN"/>
              </w:rPr>
              <w:t>15.1</w:t>
            </w:r>
            <w:r>
              <w:rPr>
                <w:sz w:val="24"/>
              </w:rPr>
              <w:t>万元，环保投资占总投资的</w:t>
            </w:r>
            <w:r>
              <w:rPr>
                <w:rFonts w:hint="eastAsia"/>
                <w:sz w:val="24"/>
                <w:lang w:val="en-US" w:eastAsia="zh-CN"/>
              </w:rPr>
              <w:t>15.1</w:t>
            </w:r>
            <w:r>
              <w:rPr>
                <w:sz w:val="24"/>
              </w:rPr>
              <w:t>%，环保投资见</w:t>
            </w:r>
            <w:r>
              <w:rPr>
                <w:rFonts w:hint="eastAsia"/>
                <w:sz w:val="24"/>
              </w:rPr>
              <w:t>下</w:t>
            </w:r>
            <w:r>
              <w:rPr>
                <w:sz w:val="24"/>
              </w:rPr>
              <w:t>表。</w:t>
            </w:r>
          </w:p>
          <w:p>
            <w:pPr>
              <w:numPr>
                <w:ilvl w:val="0"/>
                <w:numId w:val="0"/>
              </w:numPr>
              <w:autoSpaceDE w:val="0"/>
              <w:autoSpaceDN w:val="0"/>
              <w:adjustRightInd w:val="0"/>
              <w:spacing w:line="520" w:lineRule="exact"/>
              <w:ind w:leftChars="200"/>
            </w:pPr>
            <w:r>
              <w:rPr>
                <w:rFonts w:hint="eastAsia" w:eastAsia="黑体"/>
                <w:kern w:val="0"/>
                <w:sz w:val="24"/>
                <w:lang w:eastAsia="zh-CN"/>
              </w:rPr>
              <w:t>表</w:t>
            </w:r>
            <w:r>
              <w:rPr>
                <w:rFonts w:hint="eastAsia" w:eastAsia="黑体"/>
                <w:kern w:val="0"/>
                <w:sz w:val="24"/>
                <w:lang w:val="en-US" w:eastAsia="zh-CN"/>
              </w:rPr>
              <w:t>41</w:t>
            </w:r>
            <w:r>
              <w:rPr>
                <w:rFonts w:eastAsia="黑体"/>
                <w:kern w:val="0"/>
                <w:sz w:val="24"/>
              </w:rPr>
              <w:t xml:space="preserve">          环保投资及竣工验收一览表                单位：万元</w:t>
            </w:r>
          </w:p>
          <w:tbl>
            <w:tblPr>
              <w:tblStyle w:val="32"/>
              <w:tblW w:w="87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6"/>
              <w:gridCol w:w="554"/>
              <w:gridCol w:w="997"/>
              <w:gridCol w:w="2878"/>
              <w:gridCol w:w="691"/>
              <w:gridCol w:w="2270"/>
              <w:gridCol w:w="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noWrap/>
                  <w:tcMar>
                    <w:left w:w="0" w:type="dxa"/>
                    <w:right w:w="0" w:type="dxa"/>
                  </w:tcMar>
                  <w:vAlign w:val="center"/>
                </w:tcPr>
                <w:p>
                  <w:pPr>
                    <w:spacing w:line="240" w:lineRule="atLeast"/>
                    <w:jc w:val="center"/>
                    <w:rPr>
                      <w:bCs/>
                      <w:szCs w:val="21"/>
                    </w:rPr>
                  </w:pPr>
                  <w:r>
                    <w:rPr>
                      <w:bCs/>
                      <w:szCs w:val="21"/>
                    </w:rPr>
                    <w:t>序号</w:t>
                  </w:r>
                </w:p>
              </w:tc>
              <w:tc>
                <w:tcPr>
                  <w:tcW w:w="1551" w:type="dxa"/>
                  <w:gridSpan w:val="2"/>
                  <w:noWrap/>
                  <w:tcMar>
                    <w:top w:w="28" w:type="dxa"/>
                    <w:left w:w="0" w:type="dxa"/>
                    <w:bottom w:w="28" w:type="dxa"/>
                    <w:right w:w="0" w:type="dxa"/>
                  </w:tcMar>
                  <w:vAlign w:val="center"/>
                </w:tcPr>
                <w:p>
                  <w:pPr>
                    <w:spacing w:line="240" w:lineRule="atLeast"/>
                    <w:jc w:val="center"/>
                    <w:rPr>
                      <w:bCs/>
                      <w:szCs w:val="21"/>
                    </w:rPr>
                  </w:pPr>
                  <w:r>
                    <w:rPr>
                      <w:bCs/>
                      <w:szCs w:val="21"/>
                    </w:rPr>
                    <w:t>污染因子</w:t>
                  </w:r>
                </w:p>
              </w:tc>
              <w:tc>
                <w:tcPr>
                  <w:tcW w:w="2878" w:type="dxa"/>
                  <w:noWrap/>
                  <w:tcMar>
                    <w:left w:w="0" w:type="dxa"/>
                    <w:right w:w="0" w:type="dxa"/>
                  </w:tcMar>
                  <w:vAlign w:val="center"/>
                </w:tcPr>
                <w:p>
                  <w:pPr>
                    <w:spacing w:line="240" w:lineRule="atLeast"/>
                    <w:jc w:val="center"/>
                    <w:rPr>
                      <w:bCs/>
                      <w:szCs w:val="21"/>
                    </w:rPr>
                  </w:pPr>
                  <w:r>
                    <w:rPr>
                      <w:bCs/>
                      <w:szCs w:val="21"/>
                    </w:rPr>
                    <w:t>环保措施</w:t>
                  </w:r>
                </w:p>
              </w:tc>
              <w:tc>
                <w:tcPr>
                  <w:tcW w:w="691" w:type="dxa"/>
                  <w:noWrap/>
                  <w:tcMar>
                    <w:left w:w="0" w:type="dxa"/>
                    <w:right w:w="0" w:type="dxa"/>
                  </w:tcMar>
                  <w:vAlign w:val="center"/>
                </w:tcPr>
                <w:p>
                  <w:pPr>
                    <w:spacing w:line="240" w:lineRule="atLeast"/>
                    <w:jc w:val="center"/>
                    <w:rPr>
                      <w:bCs/>
                      <w:szCs w:val="21"/>
                    </w:rPr>
                  </w:pPr>
                  <w:r>
                    <w:rPr>
                      <w:bCs/>
                      <w:szCs w:val="21"/>
                    </w:rPr>
                    <w:t>数量</w:t>
                  </w:r>
                </w:p>
              </w:tc>
              <w:tc>
                <w:tcPr>
                  <w:tcW w:w="2270" w:type="dxa"/>
                  <w:noWrap/>
                  <w:tcMar>
                    <w:left w:w="0" w:type="dxa"/>
                    <w:right w:w="0" w:type="dxa"/>
                  </w:tcMar>
                  <w:vAlign w:val="center"/>
                </w:tcPr>
                <w:p>
                  <w:pPr>
                    <w:spacing w:line="240" w:lineRule="atLeast"/>
                    <w:jc w:val="center"/>
                    <w:rPr>
                      <w:bCs/>
                      <w:szCs w:val="21"/>
                    </w:rPr>
                  </w:pPr>
                  <w:r>
                    <w:rPr>
                      <w:bCs/>
                      <w:szCs w:val="21"/>
                    </w:rPr>
                    <w:t>验收指标</w:t>
                  </w:r>
                </w:p>
              </w:tc>
              <w:tc>
                <w:tcPr>
                  <w:tcW w:w="914" w:type="dxa"/>
                  <w:noWrap/>
                  <w:tcMar>
                    <w:left w:w="0" w:type="dxa"/>
                    <w:right w:w="0" w:type="dxa"/>
                  </w:tcMar>
                  <w:vAlign w:val="center"/>
                </w:tcPr>
                <w:p>
                  <w:pPr>
                    <w:spacing w:line="240" w:lineRule="atLeast"/>
                    <w:jc w:val="center"/>
                    <w:rPr>
                      <w:bCs/>
                      <w:szCs w:val="21"/>
                    </w:rPr>
                  </w:pPr>
                  <w:r>
                    <w:rPr>
                      <w:bCs/>
                      <w:szCs w:val="21"/>
                    </w:rPr>
                    <w:t xml:space="preserve">投资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restart"/>
                  <w:noWrap/>
                  <w:tcMar>
                    <w:left w:w="0" w:type="dxa"/>
                    <w:right w:w="0" w:type="dxa"/>
                  </w:tcMar>
                  <w:vAlign w:val="center"/>
                </w:tcPr>
                <w:p>
                  <w:pPr>
                    <w:spacing w:line="240" w:lineRule="atLeast"/>
                    <w:jc w:val="center"/>
                    <w:rPr>
                      <w:bCs/>
                      <w:szCs w:val="21"/>
                    </w:rPr>
                  </w:pPr>
                  <w:r>
                    <w:rPr>
                      <w:bCs/>
                      <w:szCs w:val="21"/>
                    </w:rPr>
                    <w:t>1</w:t>
                  </w:r>
                </w:p>
              </w:tc>
              <w:tc>
                <w:tcPr>
                  <w:tcW w:w="554" w:type="dxa"/>
                  <w:vMerge w:val="restart"/>
                  <w:noWrap/>
                  <w:tcMar>
                    <w:top w:w="28" w:type="dxa"/>
                    <w:left w:w="0" w:type="dxa"/>
                    <w:bottom w:w="28" w:type="dxa"/>
                    <w:right w:w="0" w:type="dxa"/>
                  </w:tcMar>
                  <w:vAlign w:val="center"/>
                </w:tcPr>
                <w:p>
                  <w:pPr>
                    <w:spacing w:line="240" w:lineRule="atLeast"/>
                    <w:jc w:val="center"/>
                    <w:rPr>
                      <w:bCs/>
                      <w:szCs w:val="21"/>
                    </w:rPr>
                  </w:pPr>
                  <w:r>
                    <w:rPr>
                      <w:bCs/>
                      <w:szCs w:val="21"/>
                    </w:rPr>
                    <w:t>废气</w:t>
                  </w:r>
                </w:p>
              </w:tc>
              <w:tc>
                <w:tcPr>
                  <w:tcW w:w="997" w:type="dxa"/>
                  <w:noWrap/>
                  <w:tcMar>
                    <w:left w:w="0" w:type="dxa"/>
                    <w:right w:w="0" w:type="dxa"/>
                  </w:tcMar>
                  <w:vAlign w:val="center"/>
                </w:tcPr>
                <w:p>
                  <w:pPr>
                    <w:spacing w:line="240" w:lineRule="atLeast"/>
                    <w:jc w:val="center"/>
                    <w:rPr>
                      <w:rFonts w:hint="eastAsia" w:eastAsia="宋体"/>
                      <w:bCs/>
                      <w:color w:val="auto"/>
                      <w:szCs w:val="21"/>
                      <w:lang w:eastAsia="zh-CN"/>
                    </w:rPr>
                  </w:pPr>
                  <w:r>
                    <w:rPr>
                      <w:bCs/>
                      <w:color w:val="auto"/>
                      <w:szCs w:val="21"/>
                    </w:rPr>
                    <w:t>水泥罐顶</w:t>
                  </w:r>
                  <w:r>
                    <w:rPr>
                      <w:rFonts w:hint="eastAsia"/>
                      <w:bCs/>
                      <w:color w:val="auto"/>
                      <w:szCs w:val="21"/>
                      <w:lang w:eastAsia="zh-CN"/>
                    </w:rPr>
                    <w:t>及粉煤灰罐顶颗粒物</w:t>
                  </w:r>
                </w:p>
              </w:tc>
              <w:tc>
                <w:tcPr>
                  <w:tcW w:w="2878" w:type="dxa"/>
                  <w:noWrap/>
                  <w:tcMar>
                    <w:left w:w="0" w:type="dxa"/>
                    <w:right w:w="0" w:type="dxa"/>
                  </w:tcMar>
                  <w:vAlign w:val="center"/>
                </w:tcPr>
                <w:p>
                  <w:pPr>
                    <w:spacing w:line="240" w:lineRule="atLeast"/>
                    <w:jc w:val="center"/>
                    <w:rPr>
                      <w:rFonts w:hint="eastAsia" w:eastAsia="宋体"/>
                      <w:bCs/>
                      <w:color w:val="auto"/>
                      <w:szCs w:val="21"/>
                      <w:lang w:eastAsia="zh-CN"/>
                    </w:rPr>
                  </w:pPr>
                  <w:r>
                    <w:rPr>
                      <w:bCs/>
                      <w:color w:val="auto"/>
                      <w:szCs w:val="21"/>
                    </w:rPr>
                    <w:t>采用</w:t>
                  </w:r>
                  <w:r>
                    <w:rPr>
                      <w:rFonts w:hint="eastAsia"/>
                      <w:bCs/>
                      <w:color w:val="auto"/>
                      <w:szCs w:val="21"/>
                      <w:lang w:eastAsia="zh-CN"/>
                    </w:rPr>
                    <w:t>脉冲</w:t>
                  </w:r>
                  <w:r>
                    <w:rPr>
                      <w:bCs/>
                      <w:color w:val="auto"/>
                      <w:szCs w:val="21"/>
                    </w:rPr>
                    <w:t>袋式除尘器处理，除尘效率为99.9%，风量为8000m</w:t>
                  </w:r>
                  <w:r>
                    <w:rPr>
                      <w:bCs/>
                      <w:color w:val="auto"/>
                      <w:szCs w:val="21"/>
                      <w:vertAlign w:val="superscript"/>
                    </w:rPr>
                    <w:t>3</w:t>
                  </w:r>
                  <w:r>
                    <w:rPr>
                      <w:bCs/>
                      <w:color w:val="auto"/>
                      <w:szCs w:val="21"/>
                    </w:rPr>
                    <w:t>/h</w:t>
                  </w:r>
                  <w:r>
                    <w:rPr>
                      <w:rFonts w:hint="eastAsia"/>
                      <w:bCs/>
                      <w:color w:val="auto"/>
                      <w:szCs w:val="21"/>
                      <w:lang w:eastAsia="zh-CN"/>
                    </w:rPr>
                    <w:t>，处理后废气引入投料、搅拌配套除尘器处理</w:t>
                  </w:r>
                </w:p>
              </w:tc>
              <w:tc>
                <w:tcPr>
                  <w:tcW w:w="691" w:type="dxa"/>
                  <w:noWrap/>
                  <w:tcMar>
                    <w:left w:w="0" w:type="dxa"/>
                    <w:right w:w="0" w:type="dxa"/>
                  </w:tcMar>
                  <w:vAlign w:val="center"/>
                </w:tcPr>
                <w:p>
                  <w:pPr>
                    <w:spacing w:line="240" w:lineRule="atLeast"/>
                    <w:jc w:val="center"/>
                    <w:rPr>
                      <w:bCs/>
                      <w:szCs w:val="21"/>
                    </w:rPr>
                  </w:pPr>
                  <w:r>
                    <w:rPr>
                      <w:bCs/>
                      <w:szCs w:val="21"/>
                    </w:rPr>
                    <w:t>1台</w:t>
                  </w:r>
                </w:p>
              </w:tc>
              <w:tc>
                <w:tcPr>
                  <w:tcW w:w="2270" w:type="dxa"/>
                  <w:vMerge w:val="restart"/>
                  <w:noWrap/>
                  <w:tcMar>
                    <w:left w:w="0" w:type="dxa"/>
                    <w:right w:w="0" w:type="dxa"/>
                  </w:tcMar>
                  <w:vAlign w:val="center"/>
                </w:tcPr>
                <w:p>
                  <w:pPr>
                    <w:spacing w:line="240" w:lineRule="atLeast"/>
                    <w:jc w:val="center"/>
                    <w:rPr>
                      <w:bCs/>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）表1标准</w:t>
                  </w:r>
                </w:p>
              </w:tc>
              <w:tc>
                <w:tcPr>
                  <w:tcW w:w="914" w:type="dxa"/>
                  <w:noWrap/>
                  <w:tcMar>
                    <w:left w:w="0" w:type="dxa"/>
                    <w:right w:w="0" w:type="dxa"/>
                  </w:tcMar>
                  <w:vAlign w:val="center"/>
                </w:tcPr>
                <w:p>
                  <w:pPr>
                    <w:spacing w:line="240" w:lineRule="atLeast"/>
                    <w:jc w:val="center"/>
                    <w:rPr>
                      <w:bCs/>
                      <w:szCs w:val="21"/>
                    </w:rPr>
                  </w:pPr>
                  <w:r>
                    <w:rPr>
                      <w:rFonts w:hint="eastAsia"/>
                      <w:bCs/>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left w:w="0" w:type="dxa"/>
                    <w:right w:w="0" w:type="dxa"/>
                  </w:tcMar>
                  <w:vAlign w:val="center"/>
                </w:tcPr>
                <w:p>
                  <w:pPr>
                    <w:spacing w:line="240" w:lineRule="atLeast"/>
                    <w:jc w:val="center"/>
                    <w:rPr>
                      <w:bCs/>
                      <w:szCs w:val="21"/>
                    </w:rPr>
                  </w:pPr>
                </w:p>
              </w:tc>
              <w:tc>
                <w:tcPr>
                  <w:tcW w:w="554" w:type="dxa"/>
                  <w:vMerge w:val="continue"/>
                  <w:noWrap/>
                  <w:tcMar>
                    <w:top w:w="28" w:type="dxa"/>
                    <w:left w:w="0" w:type="dxa"/>
                    <w:bottom w:w="28" w:type="dxa"/>
                    <w:right w:w="0" w:type="dxa"/>
                  </w:tcMar>
                  <w:vAlign w:val="center"/>
                </w:tcPr>
                <w:p>
                  <w:pPr>
                    <w:spacing w:line="240" w:lineRule="atLeast"/>
                    <w:jc w:val="center"/>
                    <w:rPr>
                      <w:bCs/>
                      <w:szCs w:val="21"/>
                    </w:rPr>
                  </w:pPr>
                </w:p>
              </w:tc>
              <w:tc>
                <w:tcPr>
                  <w:tcW w:w="997" w:type="dxa"/>
                  <w:vMerge w:val="restart"/>
                  <w:noWrap/>
                  <w:tcMar>
                    <w:left w:w="0" w:type="dxa"/>
                    <w:right w:w="0" w:type="dxa"/>
                  </w:tcMar>
                  <w:vAlign w:val="center"/>
                </w:tcPr>
                <w:p>
                  <w:pPr>
                    <w:spacing w:line="240" w:lineRule="atLeast"/>
                    <w:jc w:val="center"/>
                    <w:rPr>
                      <w:bCs/>
                      <w:color w:val="auto"/>
                      <w:szCs w:val="21"/>
                    </w:rPr>
                  </w:pPr>
                  <w:r>
                    <w:rPr>
                      <w:rFonts w:hint="eastAsia"/>
                      <w:bCs/>
                      <w:color w:val="auto"/>
                      <w:szCs w:val="21"/>
                      <w:lang w:eastAsia="zh-CN"/>
                    </w:rPr>
                    <w:t>输送、投料</w:t>
                  </w:r>
                  <w:r>
                    <w:rPr>
                      <w:bCs/>
                      <w:color w:val="auto"/>
                      <w:szCs w:val="21"/>
                    </w:rPr>
                    <w:t>、搅拌</w:t>
                  </w:r>
                </w:p>
                <w:p>
                  <w:pPr>
                    <w:spacing w:line="240" w:lineRule="atLeast"/>
                    <w:jc w:val="center"/>
                    <w:rPr>
                      <w:rFonts w:hint="eastAsia" w:eastAsia="宋体"/>
                      <w:bCs/>
                      <w:color w:val="auto"/>
                      <w:szCs w:val="21"/>
                      <w:lang w:eastAsia="zh-CN"/>
                    </w:rPr>
                  </w:pPr>
                  <w:r>
                    <w:rPr>
                      <w:rFonts w:hint="eastAsia"/>
                      <w:bCs/>
                      <w:color w:val="auto"/>
                      <w:szCs w:val="21"/>
                      <w:lang w:eastAsia="zh-CN"/>
                    </w:rPr>
                    <w:t>颗粒物</w:t>
                  </w:r>
                </w:p>
              </w:tc>
              <w:tc>
                <w:tcPr>
                  <w:tcW w:w="2878" w:type="dxa"/>
                  <w:noWrap/>
                  <w:tcMar>
                    <w:left w:w="0" w:type="dxa"/>
                    <w:right w:w="0" w:type="dxa"/>
                  </w:tcMar>
                  <w:vAlign w:val="center"/>
                </w:tcPr>
                <w:p>
                  <w:pPr>
                    <w:spacing w:line="240" w:lineRule="atLeast"/>
                    <w:jc w:val="center"/>
                    <w:rPr>
                      <w:bCs/>
                      <w:color w:val="auto"/>
                      <w:szCs w:val="21"/>
                    </w:rPr>
                  </w:pPr>
                  <w:r>
                    <w:rPr>
                      <w:rFonts w:hint="eastAsia"/>
                      <w:b/>
                      <w:bCs w:val="0"/>
                      <w:color w:val="auto"/>
                      <w:szCs w:val="21"/>
                      <w:u w:val="single"/>
                      <w:lang w:eastAsia="zh-CN"/>
                    </w:rPr>
                    <w:t>搅拌机进行二次封闭，</w:t>
                  </w:r>
                  <w:r>
                    <w:rPr>
                      <w:rFonts w:hint="eastAsia" w:eastAsia="宋体" w:cs="Times New Roman"/>
                      <w:b/>
                      <w:bCs/>
                      <w:sz w:val="21"/>
                      <w:szCs w:val="21"/>
                      <w:u w:val="single"/>
                      <w:lang w:eastAsia="zh-CN"/>
                    </w:rPr>
                    <w:t>配料口、</w:t>
                  </w:r>
                  <w:r>
                    <w:rPr>
                      <w:rFonts w:hint="default" w:ascii="Times New Roman" w:hAnsi="Times New Roman" w:eastAsia="宋体" w:cs="Times New Roman"/>
                      <w:b/>
                      <w:bCs/>
                      <w:sz w:val="21"/>
                      <w:szCs w:val="21"/>
                      <w:u w:val="single"/>
                    </w:rPr>
                    <w:t>进料口上方配备半封闭集尘罩，</w:t>
                  </w:r>
                  <w:r>
                    <w:rPr>
                      <w:rFonts w:hint="eastAsia"/>
                      <w:b/>
                      <w:bCs w:val="0"/>
                      <w:color w:val="auto"/>
                      <w:szCs w:val="21"/>
                      <w:u w:val="single"/>
                      <w:lang w:eastAsia="zh-CN"/>
                    </w:rPr>
                    <w:t>引致一套单独的</w:t>
                  </w:r>
                  <w:r>
                    <w:rPr>
                      <w:b/>
                      <w:bCs w:val="0"/>
                      <w:color w:val="auto"/>
                      <w:szCs w:val="21"/>
                      <w:u w:val="single"/>
                    </w:rPr>
                    <w:t>袋式除尘器处理，除尘效率为99%，处理风量为10000m</w:t>
                  </w:r>
                  <w:r>
                    <w:rPr>
                      <w:b/>
                      <w:bCs w:val="0"/>
                      <w:color w:val="auto"/>
                      <w:szCs w:val="21"/>
                      <w:u w:val="single"/>
                      <w:vertAlign w:val="superscript"/>
                    </w:rPr>
                    <w:t>3</w:t>
                  </w:r>
                  <w:r>
                    <w:rPr>
                      <w:b/>
                      <w:bCs w:val="0"/>
                      <w:color w:val="auto"/>
                      <w:szCs w:val="21"/>
                      <w:u w:val="single"/>
                    </w:rPr>
                    <w:t>/h，1根15m高排气筒排放</w:t>
                  </w:r>
                </w:p>
              </w:tc>
              <w:tc>
                <w:tcPr>
                  <w:tcW w:w="691" w:type="dxa"/>
                  <w:noWrap/>
                  <w:tcMar>
                    <w:left w:w="0" w:type="dxa"/>
                    <w:right w:w="0" w:type="dxa"/>
                  </w:tcMar>
                  <w:vAlign w:val="center"/>
                </w:tcPr>
                <w:p>
                  <w:pPr>
                    <w:spacing w:line="240" w:lineRule="atLeast"/>
                    <w:jc w:val="center"/>
                    <w:rPr>
                      <w:b/>
                      <w:bCs w:val="0"/>
                      <w:szCs w:val="21"/>
                      <w:u w:val="single"/>
                    </w:rPr>
                  </w:pPr>
                  <w:r>
                    <w:rPr>
                      <w:rFonts w:hint="eastAsia"/>
                      <w:b/>
                      <w:bCs w:val="0"/>
                      <w:szCs w:val="21"/>
                      <w:u w:val="single"/>
                      <w:lang w:val="en-US" w:eastAsia="zh-CN"/>
                    </w:rPr>
                    <w:t>1套</w:t>
                  </w:r>
                </w:p>
              </w:tc>
              <w:tc>
                <w:tcPr>
                  <w:tcW w:w="2270" w:type="dxa"/>
                  <w:vMerge w:val="continue"/>
                  <w:noWrap/>
                  <w:tcMar>
                    <w:left w:w="0" w:type="dxa"/>
                    <w:right w:w="0" w:type="dxa"/>
                  </w:tcMar>
                  <w:vAlign w:val="center"/>
                </w:tcPr>
                <w:p>
                  <w:pPr>
                    <w:spacing w:line="240" w:lineRule="atLeast"/>
                    <w:jc w:val="center"/>
                    <w:rPr>
                      <w:bCs/>
                      <w:szCs w:val="21"/>
                    </w:rPr>
                  </w:pPr>
                </w:p>
              </w:tc>
              <w:tc>
                <w:tcPr>
                  <w:tcW w:w="914" w:type="dxa"/>
                  <w:vMerge w:val="restart"/>
                  <w:noWrap/>
                  <w:tcMar>
                    <w:left w:w="0" w:type="dxa"/>
                    <w:right w:w="0" w:type="dxa"/>
                  </w:tcMar>
                  <w:vAlign w:val="center"/>
                </w:tcPr>
                <w:p>
                  <w:pPr>
                    <w:spacing w:line="240" w:lineRule="atLeast"/>
                    <w:jc w:val="center"/>
                    <w:rPr>
                      <w:bCs/>
                      <w:szCs w:val="21"/>
                    </w:rPr>
                  </w:pPr>
                  <w:r>
                    <w:rPr>
                      <w:bCs/>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left w:w="0" w:type="dxa"/>
                    <w:right w:w="0" w:type="dxa"/>
                  </w:tcMar>
                  <w:vAlign w:val="center"/>
                </w:tcPr>
                <w:p>
                  <w:pPr>
                    <w:spacing w:line="240" w:lineRule="atLeast"/>
                    <w:jc w:val="center"/>
                    <w:rPr>
                      <w:bCs/>
                      <w:szCs w:val="21"/>
                    </w:rPr>
                  </w:pPr>
                </w:p>
              </w:tc>
              <w:tc>
                <w:tcPr>
                  <w:tcW w:w="554" w:type="dxa"/>
                  <w:vMerge w:val="continue"/>
                  <w:noWrap/>
                  <w:tcMar>
                    <w:top w:w="28" w:type="dxa"/>
                    <w:left w:w="0" w:type="dxa"/>
                    <w:bottom w:w="28" w:type="dxa"/>
                    <w:right w:w="0" w:type="dxa"/>
                  </w:tcMar>
                  <w:vAlign w:val="center"/>
                </w:tcPr>
                <w:p>
                  <w:pPr>
                    <w:spacing w:line="240" w:lineRule="atLeast"/>
                    <w:jc w:val="center"/>
                    <w:rPr>
                      <w:bCs/>
                      <w:szCs w:val="21"/>
                    </w:rPr>
                  </w:pPr>
                </w:p>
              </w:tc>
              <w:tc>
                <w:tcPr>
                  <w:tcW w:w="997" w:type="dxa"/>
                  <w:vMerge w:val="continue"/>
                  <w:noWrap/>
                  <w:tcMar>
                    <w:left w:w="0" w:type="dxa"/>
                    <w:right w:w="0" w:type="dxa"/>
                  </w:tcMar>
                  <w:vAlign w:val="center"/>
                </w:tcPr>
                <w:p>
                  <w:pPr>
                    <w:spacing w:line="240" w:lineRule="atLeast"/>
                    <w:jc w:val="center"/>
                    <w:rPr>
                      <w:bCs/>
                      <w:color w:val="auto"/>
                      <w:szCs w:val="21"/>
                    </w:rPr>
                  </w:pPr>
                </w:p>
              </w:tc>
              <w:tc>
                <w:tcPr>
                  <w:tcW w:w="2878" w:type="dxa"/>
                  <w:noWrap/>
                  <w:tcMar>
                    <w:left w:w="0" w:type="dxa"/>
                    <w:right w:w="0" w:type="dxa"/>
                  </w:tcMar>
                  <w:vAlign w:val="center"/>
                </w:tcPr>
                <w:p>
                  <w:pPr>
                    <w:spacing w:line="240" w:lineRule="atLeast"/>
                    <w:jc w:val="center"/>
                    <w:rPr>
                      <w:bCs/>
                      <w:color w:val="auto"/>
                      <w:szCs w:val="21"/>
                    </w:rPr>
                  </w:pPr>
                  <w:r>
                    <w:rPr>
                      <w:b/>
                      <w:bCs/>
                      <w:color w:val="auto"/>
                      <w:szCs w:val="21"/>
                      <w:u w:val="single"/>
                    </w:rPr>
                    <w:t>散状物料采用封闭式输送方式，</w:t>
                  </w:r>
                  <w:r>
                    <w:rPr>
                      <w:rFonts w:hint="eastAsia"/>
                      <w:b/>
                      <w:bCs/>
                      <w:color w:val="auto"/>
                      <w:szCs w:val="21"/>
                      <w:u w:val="single"/>
                      <w:lang w:eastAsia="zh-CN"/>
                    </w:rPr>
                    <w:t>骨料采用全封闭皮带运输，</w:t>
                  </w:r>
                  <w:r>
                    <w:rPr>
                      <w:b/>
                      <w:bCs/>
                      <w:color w:val="auto"/>
                      <w:szCs w:val="21"/>
                      <w:u w:val="single"/>
                    </w:rPr>
                    <w:t>皮带输送机受料点、卸料点</w:t>
                  </w:r>
                  <w:r>
                    <w:rPr>
                      <w:rFonts w:hint="eastAsia"/>
                      <w:b/>
                      <w:bCs/>
                      <w:color w:val="auto"/>
                      <w:szCs w:val="21"/>
                      <w:u w:val="single"/>
                      <w:lang w:eastAsia="zh-CN"/>
                    </w:rPr>
                    <w:t>均</w:t>
                  </w:r>
                  <w:r>
                    <w:rPr>
                      <w:b/>
                      <w:bCs/>
                      <w:color w:val="auto"/>
                      <w:szCs w:val="21"/>
                      <w:u w:val="single"/>
                    </w:rPr>
                    <w:t>设置密闭罩</w:t>
                  </w:r>
                </w:p>
              </w:tc>
              <w:tc>
                <w:tcPr>
                  <w:tcW w:w="691" w:type="dxa"/>
                  <w:noWrap/>
                  <w:tcMar>
                    <w:left w:w="0" w:type="dxa"/>
                    <w:right w:w="0" w:type="dxa"/>
                  </w:tcMar>
                  <w:vAlign w:val="center"/>
                </w:tcPr>
                <w:p>
                  <w:pPr>
                    <w:spacing w:line="240" w:lineRule="atLeast"/>
                    <w:jc w:val="center"/>
                    <w:rPr>
                      <w:rFonts w:hint="eastAsia" w:eastAsia="宋体"/>
                      <w:b/>
                      <w:bCs w:val="0"/>
                      <w:szCs w:val="21"/>
                      <w:u w:val="single"/>
                      <w:lang w:val="en-US" w:eastAsia="zh-CN"/>
                    </w:rPr>
                  </w:pPr>
                  <w:r>
                    <w:rPr>
                      <w:rFonts w:hint="eastAsia"/>
                      <w:b/>
                      <w:bCs w:val="0"/>
                      <w:szCs w:val="21"/>
                      <w:u w:val="single"/>
                      <w:lang w:val="en-US" w:eastAsia="zh-CN"/>
                    </w:rPr>
                    <w:t>1套</w:t>
                  </w:r>
                </w:p>
              </w:tc>
              <w:tc>
                <w:tcPr>
                  <w:tcW w:w="2270" w:type="dxa"/>
                  <w:vMerge w:val="continue"/>
                  <w:noWrap/>
                  <w:tcMar>
                    <w:left w:w="0" w:type="dxa"/>
                    <w:right w:w="0" w:type="dxa"/>
                  </w:tcMar>
                  <w:vAlign w:val="center"/>
                </w:tcPr>
                <w:p>
                  <w:pPr>
                    <w:spacing w:line="240" w:lineRule="atLeast"/>
                    <w:jc w:val="center"/>
                    <w:rPr>
                      <w:bCs/>
                      <w:szCs w:val="21"/>
                    </w:rPr>
                  </w:pPr>
                </w:p>
              </w:tc>
              <w:tc>
                <w:tcPr>
                  <w:tcW w:w="914" w:type="dxa"/>
                  <w:vMerge w:val="continue"/>
                  <w:noWrap/>
                  <w:tcMar>
                    <w:left w:w="0" w:type="dxa"/>
                    <w:right w:w="0" w:type="dxa"/>
                  </w:tcMar>
                  <w:vAlign w:val="center"/>
                </w:tcPr>
                <w:p>
                  <w:pPr>
                    <w:spacing w:line="240" w:lineRule="atLeast"/>
                    <w:jc w:val="center"/>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left w:w="0" w:type="dxa"/>
                    <w:right w:w="0" w:type="dxa"/>
                  </w:tcMar>
                  <w:vAlign w:val="center"/>
                </w:tcPr>
                <w:p>
                  <w:pPr>
                    <w:spacing w:line="240" w:lineRule="atLeast"/>
                    <w:jc w:val="center"/>
                    <w:rPr>
                      <w:bCs/>
                      <w:szCs w:val="21"/>
                    </w:rPr>
                  </w:pPr>
                </w:p>
              </w:tc>
              <w:tc>
                <w:tcPr>
                  <w:tcW w:w="554" w:type="dxa"/>
                  <w:vMerge w:val="continue"/>
                  <w:noWrap/>
                  <w:tcMar>
                    <w:top w:w="28" w:type="dxa"/>
                    <w:left w:w="0" w:type="dxa"/>
                    <w:bottom w:w="28" w:type="dxa"/>
                    <w:right w:w="0" w:type="dxa"/>
                  </w:tcMar>
                  <w:vAlign w:val="center"/>
                </w:tcPr>
                <w:p>
                  <w:pPr>
                    <w:spacing w:line="240" w:lineRule="atLeast"/>
                    <w:jc w:val="center"/>
                    <w:rPr>
                      <w:bCs/>
                      <w:szCs w:val="21"/>
                    </w:rPr>
                  </w:pPr>
                </w:p>
              </w:tc>
              <w:tc>
                <w:tcPr>
                  <w:tcW w:w="997" w:type="dxa"/>
                  <w:noWrap/>
                  <w:tcMar>
                    <w:left w:w="0" w:type="dxa"/>
                    <w:right w:w="0" w:type="dxa"/>
                  </w:tcMar>
                  <w:vAlign w:val="center"/>
                </w:tcPr>
                <w:p>
                  <w:pPr>
                    <w:spacing w:line="240" w:lineRule="atLeast"/>
                    <w:jc w:val="center"/>
                    <w:rPr>
                      <w:bCs/>
                      <w:color w:val="auto"/>
                      <w:szCs w:val="21"/>
                    </w:rPr>
                  </w:pPr>
                  <w:r>
                    <w:rPr>
                      <w:bCs/>
                      <w:color w:val="auto"/>
                      <w:szCs w:val="21"/>
                    </w:rPr>
                    <w:t>道路扬尘</w:t>
                  </w:r>
                </w:p>
              </w:tc>
              <w:tc>
                <w:tcPr>
                  <w:tcW w:w="2878" w:type="dxa"/>
                  <w:noWrap/>
                  <w:tcMar>
                    <w:left w:w="0" w:type="dxa"/>
                    <w:right w:w="0" w:type="dxa"/>
                  </w:tcMar>
                  <w:vAlign w:val="center"/>
                </w:tcPr>
                <w:p>
                  <w:pPr>
                    <w:spacing w:line="240" w:lineRule="atLeast"/>
                    <w:jc w:val="center"/>
                    <w:rPr>
                      <w:bCs/>
                      <w:color w:val="auto"/>
                      <w:szCs w:val="21"/>
                    </w:rPr>
                  </w:pPr>
                  <w:r>
                    <w:rPr>
                      <w:bCs/>
                      <w:color w:val="auto"/>
                      <w:szCs w:val="21"/>
                    </w:rPr>
                    <w:t>厂区道路硬化，在厂区进出口设置车辆自动冲洗装置</w:t>
                  </w:r>
                </w:p>
              </w:tc>
              <w:tc>
                <w:tcPr>
                  <w:tcW w:w="691" w:type="dxa"/>
                  <w:noWrap/>
                  <w:tcMar>
                    <w:left w:w="0" w:type="dxa"/>
                    <w:right w:w="0" w:type="dxa"/>
                  </w:tcMar>
                  <w:vAlign w:val="center"/>
                </w:tcPr>
                <w:p>
                  <w:pPr>
                    <w:spacing w:line="240" w:lineRule="atLeast"/>
                    <w:jc w:val="center"/>
                    <w:rPr>
                      <w:bCs/>
                      <w:szCs w:val="21"/>
                    </w:rPr>
                  </w:pPr>
                  <w:r>
                    <w:rPr>
                      <w:bCs/>
                      <w:szCs w:val="21"/>
                    </w:rPr>
                    <w:t>1套</w:t>
                  </w:r>
                </w:p>
              </w:tc>
              <w:tc>
                <w:tcPr>
                  <w:tcW w:w="2270" w:type="dxa"/>
                  <w:vMerge w:val="restart"/>
                  <w:noWrap/>
                  <w:tcMar>
                    <w:left w:w="0" w:type="dxa"/>
                    <w:right w:w="0" w:type="dxa"/>
                  </w:tcMar>
                  <w:vAlign w:val="center"/>
                </w:tcPr>
                <w:p>
                  <w:pPr>
                    <w:spacing w:line="240" w:lineRule="atLeast"/>
                    <w:jc w:val="center"/>
                    <w:rPr>
                      <w:bCs/>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w:t>
                  </w:r>
                  <w:r>
                    <w:rPr>
                      <w:rFonts w:hint="eastAsia"/>
                      <w:bCs/>
                      <w:szCs w:val="21"/>
                      <w:lang w:val="en-US" w:eastAsia="zh-CN"/>
                    </w:rPr>
                    <w:t>2</w:t>
                  </w:r>
                  <w:r>
                    <w:rPr>
                      <w:bCs/>
                      <w:szCs w:val="21"/>
                    </w:rPr>
                    <w:t>标准</w:t>
                  </w:r>
                </w:p>
              </w:tc>
              <w:tc>
                <w:tcPr>
                  <w:tcW w:w="914" w:type="dxa"/>
                  <w:noWrap/>
                  <w:tcMar>
                    <w:left w:w="0" w:type="dxa"/>
                    <w:right w:w="0" w:type="dxa"/>
                  </w:tcMar>
                  <w:vAlign w:val="center"/>
                </w:tcPr>
                <w:p>
                  <w:pPr>
                    <w:spacing w:line="240" w:lineRule="atLeast"/>
                    <w:jc w:val="center"/>
                    <w:rPr>
                      <w:bCs/>
                      <w:szCs w:val="21"/>
                    </w:rPr>
                  </w:pPr>
                  <w:r>
                    <w:rPr>
                      <w:rFonts w:hint="eastAsia"/>
                      <w:bCs/>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rFonts w:hint="eastAsia" w:eastAsia="宋体"/>
                      <w:bCs/>
                      <w:color w:val="auto"/>
                      <w:szCs w:val="21"/>
                      <w:lang w:eastAsia="zh-CN"/>
                    </w:rPr>
                  </w:pPr>
                  <w:r>
                    <w:rPr>
                      <w:bCs/>
                      <w:color w:val="auto"/>
                      <w:szCs w:val="21"/>
                    </w:rPr>
                    <w:t>原料存储、装卸</w:t>
                  </w:r>
                  <w:r>
                    <w:rPr>
                      <w:rFonts w:hint="eastAsia"/>
                      <w:bCs/>
                      <w:color w:val="auto"/>
                      <w:szCs w:val="21"/>
                      <w:lang w:eastAsia="zh-CN"/>
                    </w:rPr>
                    <w:t>颗粒物</w:t>
                  </w:r>
                </w:p>
              </w:tc>
              <w:tc>
                <w:tcPr>
                  <w:tcW w:w="2878" w:type="dxa"/>
                  <w:noWrap/>
                  <w:tcMar>
                    <w:top w:w="28" w:type="dxa"/>
                    <w:bottom w:w="28" w:type="dxa"/>
                  </w:tcMar>
                  <w:vAlign w:val="center"/>
                </w:tcPr>
                <w:p>
                  <w:pPr>
                    <w:spacing w:line="240" w:lineRule="atLeast"/>
                    <w:jc w:val="center"/>
                    <w:rPr>
                      <w:bCs/>
                      <w:color w:val="auto"/>
                      <w:szCs w:val="21"/>
                    </w:rPr>
                  </w:pPr>
                  <w:r>
                    <w:rPr>
                      <w:bCs/>
                      <w:color w:val="auto"/>
                      <w:szCs w:val="21"/>
                    </w:rPr>
                    <w:t>设置封闭原料仓库，石沫、沙子、石子入库存放</w:t>
                  </w:r>
                  <w:r>
                    <w:rPr>
                      <w:rFonts w:hint="eastAsia"/>
                      <w:bCs/>
                      <w:color w:val="auto"/>
                      <w:szCs w:val="21"/>
                    </w:rPr>
                    <w:t>，料库四面密闭，通道口安装卷帘门，库内安装固定的喷干雾抑尘装置</w:t>
                  </w:r>
                  <w:r>
                    <w:rPr>
                      <w:bCs/>
                      <w:color w:val="auto"/>
                      <w:szCs w:val="21"/>
                    </w:rPr>
                    <w:t>；水泥</w:t>
                  </w:r>
                  <w:r>
                    <w:rPr>
                      <w:rFonts w:hint="eastAsia"/>
                      <w:bCs/>
                      <w:color w:val="auto"/>
                      <w:szCs w:val="21"/>
                      <w:lang w:eastAsia="zh-CN"/>
                    </w:rPr>
                    <w:t>、粉煤灰</w:t>
                  </w:r>
                  <w:r>
                    <w:rPr>
                      <w:bCs/>
                      <w:color w:val="auto"/>
                      <w:szCs w:val="21"/>
                    </w:rPr>
                    <w:t>入罐存放，厂区不设置露天堆场</w:t>
                  </w:r>
                </w:p>
              </w:tc>
              <w:tc>
                <w:tcPr>
                  <w:tcW w:w="691" w:type="dxa"/>
                  <w:noWrap/>
                  <w:tcMar>
                    <w:top w:w="28" w:type="dxa"/>
                    <w:bottom w:w="28" w:type="dxa"/>
                  </w:tcMar>
                  <w:vAlign w:val="center"/>
                </w:tcPr>
                <w:p>
                  <w:pPr>
                    <w:spacing w:line="240" w:lineRule="atLeast"/>
                    <w:jc w:val="center"/>
                    <w:rPr>
                      <w:bCs/>
                      <w:szCs w:val="21"/>
                    </w:rPr>
                  </w:pPr>
                  <w:r>
                    <w:rPr>
                      <w:bCs/>
                      <w:szCs w:val="21"/>
                    </w:rPr>
                    <w:t>/</w:t>
                  </w:r>
                </w:p>
              </w:tc>
              <w:tc>
                <w:tcPr>
                  <w:tcW w:w="2270" w:type="dxa"/>
                  <w:vMerge w:val="continue"/>
                  <w:noWrap/>
                  <w:tcMar>
                    <w:top w:w="28" w:type="dxa"/>
                    <w:bottom w:w="28" w:type="dxa"/>
                  </w:tcMar>
                  <w:vAlign w:val="center"/>
                </w:tcPr>
                <w:p>
                  <w:pPr>
                    <w:spacing w:line="240" w:lineRule="atLeast"/>
                    <w:jc w:val="center"/>
                    <w:rPr>
                      <w:bCs/>
                      <w:szCs w:val="21"/>
                    </w:rPr>
                  </w:pP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restart"/>
                  <w:noWrap/>
                  <w:tcMar>
                    <w:top w:w="28" w:type="dxa"/>
                    <w:bottom w:w="28" w:type="dxa"/>
                  </w:tcMar>
                  <w:vAlign w:val="center"/>
                </w:tcPr>
                <w:p>
                  <w:pPr>
                    <w:spacing w:line="240" w:lineRule="atLeast"/>
                    <w:jc w:val="center"/>
                    <w:rPr>
                      <w:bCs/>
                      <w:szCs w:val="21"/>
                    </w:rPr>
                  </w:pPr>
                  <w:r>
                    <w:rPr>
                      <w:bCs/>
                      <w:szCs w:val="21"/>
                    </w:rPr>
                    <w:t>2</w:t>
                  </w:r>
                </w:p>
              </w:tc>
              <w:tc>
                <w:tcPr>
                  <w:tcW w:w="554" w:type="dxa"/>
                  <w:vMerge w:val="restart"/>
                  <w:noWrap/>
                  <w:tcMar>
                    <w:top w:w="28" w:type="dxa"/>
                    <w:bottom w:w="28" w:type="dxa"/>
                  </w:tcMar>
                  <w:vAlign w:val="center"/>
                </w:tcPr>
                <w:p>
                  <w:pPr>
                    <w:spacing w:line="240" w:lineRule="atLeast"/>
                    <w:jc w:val="center"/>
                    <w:rPr>
                      <w:bCs/>
                      <w:szCs w:val="21"/>
                    </w:rPr>
                  </w:pPr>
                  <w:r>
                    <w:rPr>
                      <w:bCs/>
                      <w:szCs w:val="21"/>
                    </w:rPr>
                    <w:t>废水</w:t>
                  </w:r>
                </w:p>
              </w:tc>
              <w:tc>
                <w:tcPr>
                  <w:tcW w:w="997" w:type="dxa"/>
                  <w:noWrap/>
                  <w:tcMar>
                    <w:top w:w="28" w:type="dxa"/>
                    <w:bottom w:w="28" w:type="dxa"/>
                  </w:tcMar>
                  <w:vAlign w:val="center"/>
                </w:tcPr>
                <w:p>
                  <w:pPr>
                    <w:spacing w:line="240" w:lineRule="atLeast"/>
                    <w:jc w:val="center"/>
                    <w:rPr>
                      <w:bCs/>
                      <w:szCs w:val="21"/>
                    </w:rPr>
                  </w:pPr>
                  <w:r>
                    <w:rPr>
                      <w:bCs/>
                      <w:szCs w:val="21"/>
                    </w:rPr>
                    <w:t>场地、设备冲洗废水</w:t>
                  </w:r>
                </w:p>
              </w:tc>
              <w:tc>
                <w:tcPr>
                  <w:tcW w:w="2878" w:type="dxa"/>
                  <w:noWrap/>
                  <w:tcMar>
                    <w:top w:w="28" w:type="dxa"/>
                    <w:bottom w:w="28" w:type="dxa"/>
                  </w:tcMar>
                  <w:vAlign w:val="center"/>
                </w:tcPr>
                <w:p>
                  <w:pPr>
                    <w:spacing w:line="240" w:lineRule="atLeast"/>
                    <w:jc w:val="center"/>
                    <w:rPr>
                      <w:bCs/>
                      <w:szCs w:val="21"/>
                    </w:rPr>
                  </w:pPr>
                  <w:r>
                    <w:rPr>
                      <w:bCs/>
                      <w:szCs w:val="21"/>
                    </w:rPr>
                    <w:t>设置沉淀池</w:t>
                  </w:r>
                  <w:r>
                    <w:rPr>
                      <w:rFonts w:hint="eastAsia"/>
                      <w:bCs/>
                      <w:szCs w:val="21"/>
                    </w:rPr>
                    <w:t>1</w:t>
                  </w:r>
                  <w:r>
                    <w:rPr>
                      <w:bCs/>
                      <w:szCs w:val="21"/>
                    </w:rPr>
                    <w:t>座，总容积为</w:t>
                  </w:r>
                  <w:r>
                    <w:rPr>
                      <w:rFonts w:hint="eastAsia"/>
                      <w:bCs/>
                      <w:szCs w:val="21"/>
                      <w:lang w:val="en-US" w:eastAsia="zh-CN"/>
                    </w:rPr>
                    <w:t>4</w:t>
                  </w:r>
                  <w:r>
                    <w:rPr>
                      <w:bCs/>
                      <w:szCs w:val="21"/>
                    </w:rPr>
                    <w:t>m</w:t>
                  </w:r>
                  <w:r>
                    <w:rPr>
                      <w:bCs/>
                      <w:szCs w:val="21"/>
                      <w:vertAlign w:val="superscript"/>
                    </w:rPr>
                    <w:t>3</w:t>
                  </w:r>
                  <w:r>
                    <w:rPr>
                      <w:bCs/>
                      <w:szCs w:val="21"/>
                    </w:rPr>
                    <w:t>，经沉淀后作为工艺用水回用于生产</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rFonts w:hint="default" w:eastAsia="宋体"/>
                      <w:bCs/>
                      <w:szCs w:val="21"/>
                      <w:lang w:val="en-US" w:eastAsia="zh-CN"/>
                    </w:rPr>
                  </w:pPr>
                  <w:r>
                    <w:rPr>
                      <w:rFonts w:hint="eastAsia"/>
                      <w:bCs/>
                      <w:szCs w:val="21"/>
                      <w:lang w:val="en-US" w:eastAsia="zh-CN"/>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bCs/>
                      <w:szCs w:val="21"/>
                    </w:rPr>
                  </w:pPr>
                  <w:r>
                    <w:rPr>
                      <w:bCs/>
                      <w:szCs w:val="21"/>
                    </w:rPr>
                    <w:t>车辆冲洗水</w:t>
                  </w:r>
                </w:p>
              </w:tc>
              <w:tc>
                <w:tcPr>
                  <w:tcW w:w="2878" w:type="dxa"/>
                  <w:noWrap/>
                  <w:tcMar>
                    <w:top w:w="28" w:type="dxa"/>
                    <w:bottom w:w="28" w:type="dxa"/>
                  </w:tcMar>
                  <w:vAlign w:val="center"/>
                </w:tcPr>
                <w:p>
                  <w:pPr>
                    <w:spacing w:line="240" w:lineRule="atLeast"/>
                    <w:jc w:val="center"/>
                    <w:rPr>
                      <w:bCs/>
                      <w:szCs w:val="21"/>
                    </w:rPr>
                  </w:pPr>
                  <w:r>
                    <w:rPr>
                      <w:bCs/>
                      <w:szCs w:val="21"/>
                    </w:rPr>
                    <w:t>设置沉淀池1座，容积为</w:t>
                  </w:r>
                  <w:r>
                    <w:rPr>
                      <w:rFonts w:hint="eastAsia"/>
                      <w:bCs/>
                      <w:szCs w:val="21"/>
                      <w:lang w:val="en-US" w:eastAsia="zh-CN"/>
                    </w:rPr>
                    <w:t>3</w:t>
                  </w:r>
                  <w:r>
                    <w:rPr>
                      <w:bCs/>
                      <w:szCs w:val="21"/>
                    </w:rPr>
                    <w:t>m</w:t>
                  </w:r>
                  <w:r>
                    <w:rPr>
                      <w:bCs/>
                      <w:szCs w:val="21"/>
                      <w:vertAlign w:val="superscript"/>
                    </w:rPr>
                    <w:t>3</w:t>
                  </w:r>
                  <w:r>
                    <w:rPr>
                      <w:bCs/>
                      <w:szCs w:val="21"/>
                    </w:rPr>
                    <w:t>，经沉淀后回用于车辆冲洗</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bCs/>
                      <w:szCs w:val="21"/>
                    </w:rPr>
                  </w:pPr>
                  <w:r>
                    <w:rPr>
                      <w:rFonts w:hint="eastAsia"/>
                      <w:bCs/>
                      <w:szCs w:val="21"/>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bCs/>
                      <w:szCs w:val="21"/>
                    </w:rPr>
                  </w:pPr>
                  <w:r>
                    <w:rPr>
                      <w:bCs/>
                      <w:szCs w:val="21"/>
                    </w:rPr>
                    <w:t>生活污水</w:t>
                  </w:r>
                </w:p>
              </w:tc>
              <w:tc>
                <w:tcPr>
                  <w:tcW w:w="2878" w:type="dxa"/>
                  <w:noWrap/>
                  <w:tcMar>
                    <w:top w:w="28" w:type="dxa"/>
                    <w:bottom w:w="28" w:type="dxa"/>
                  </w:tcMar>
                  <w:vAlign w:val="center"/>
                </w:tcPr>
                <w:p>
                  <w:pPr>
                    <w:spacing w:line="240" w:lineRule="atLeast"/>
                    <w:jc w:val="center"/>
                    <w:rPr>
                      <w:bCs/>
                      <w:szCs w:val="21"/>
                    </w:rPr>
                  </w:pPr>
                  <w:r>
                    <w:rPr>
                      <w:rFonts w:hint="eastAsia"/>
                      <w:bCs/>
                      <w:szCs w:val="21"/>
                      <w:lang w:eastAsia="zh-CN"/>
                    </w:rPr>
                    <w:t>依托原有</w:t>
                  </w:r>
                  <w:r>
                    <w:rPr>
                      <w:bCs/>
                      <w:szCs w:val="21"/>
                    </w:rPr>
                    <w:t>化粪池1座，容积</w:t>
                  </w:r>
                  <w:r>
                    <w:rPr>
                      <w:rFonts w:hint="eastAsia"/>
                      <w:bCs/>
                      <w:color w:val="auto"/>
                      <w:szCs w:val="21"/>
                      <w:lang w:val="en-US" w:eastAsia="zh-CN"/>
                    </w:rPr>
                    <w:t>16</w:t>
                  </w:r>
                  <w:r>
                    <w:rPr>
                      <w:bCs/>
                      <w:color w:val="auto"/>
                      <w:szCs w:val="21"/>
                    </w:rPr>
                    <w:t>m</w:t>
                  </w:r>
                  <w:r>
                    <w:rPr>
                      <w:bCs/>
                      <w:color w:val="auto"/>
                      <w:szCs w:val="21"/>
                      <w:vertAlign w:val="superscript"/>
                    </w:rPr>
                    <w:t>3</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b/>
                      <w:bCs w:val="0"/>
                      <w:szCs w:val="21"/>
                      <w:u w:val="single"/>
                    </w:rPr>
                  </w:pPr>
                  <w:r>
                    <w:rPr>
                      <w:b/>
                      <w:bCs w:val="0"/>
                      <w:szCs w:val="21"/>
                      <w:u w:val="single"/>
                    </w:rPr>
                    <w:t>雨水</w:t>
                  </w:r>
                </w:p>
              </w:tc>
              <w:tc>
                <w:tcPr>
                  <w:tcW w:w="2878" w:type="dxa"/>
                  <w:noWrap/>
                  <w:tcMar>
                    <w:top w:w="28" w:type="dxa"/>
                    <w:bottom w:w="28" w:type="dxa"/>
                  </w:tcMar>
                  <w:vAlign w:val="center"/>
                </w:tcPr>
                <w:p>
                  <w:pPr>
                    <w:spacing w:line="240" w:lineRule="atLeast"/>
                    <w:jc w:val="center"/>
                    <w:rPr>
                      <w:b/>
                      <w:bCs w:val="0"/>
                      <w:szCs w:val="21"/>
                      <w:u w:val="single"/>
                    </w:rPr>
                  </w:pPr>
                  <w:r>
                    <w:rPr>
                      <w:rFonts w:hint="eastAsia"/>
                      <w:b/>
                      <w:bCs w:val="0"/>
                      <w:szCs w:val="21"/>
                      <w:u w:val="single"/>
                      <w:lang w:eastAsia="zh-CN"/>
                    </w:rPr>
                    <w:t>依托原有</w:t>
                  </w:r>
                  <w:r>
                    <w:rPr>
                      <w:b/>
                      <w:bCs w:val="0"/>
                      <w:szCs w:val="21"/>
                      <w:u w:val="single"/>
                    </w:rPr>
                    <w:t>雨水管网</w:t>
                  </w:r>
                  <w:r>
                    <w:rPr>
                      <w:rFonts w:hint="eastAsia"/>
                      <w:b/>
                      <w:bCs w:val="0"/>
                      <w:szCs w:val="21"/>
                      <w:u w:val="single"/>
                      <w:lang w:eastAsia="zh-CN"/>
                    </w:rPr>
                    <w:t>及原有三级初期</w:t>
                  </w:r>
                  <w:r>
                    <w:rPr>
                      <w:b/>
                      <w:bCs w:val="0"/>
                      <w:szCs w:val="21"/>
                      <w:u w:val="single"/>
                    </w:rPr>
                    <w:t>雨水收集池</w:t>
                  </w:r>
                  <w:r>
                    <w:rPr>
                      <w:rFonts w:hint="eastAsia"/>
                      <w:b/>
                      <w:bCs w:val="0"/>
                      <w:szCs w:val="21"/>
                      <w:u w:val="single"/>
                      <w:lang w:val="en-US" w:eastAsia="zh-CN"/>
                    </w:rPr>
                    <w:t>1</w:t>
                  </w:r>
                  <w:r>
                    <w:rPr>
                      <w:b/>
                      <w:bCs w:val="0"/>
                      <w:szCs w:val="21"/>
                      <w:u w:val="single"/>
                    </w:rPr>
                    <w:t>座，</w:t>
                  </w:r>
                  <w:r>
                    <w:rPr>
                      <w:rFonts w:hint="eastAsia"/>
                      <w:b/>
                      <w:bCs w:val="0"/>
                      <w:szCs w:val="21"/>
                      <w:u w:val="single"/>
                      <w:lang w:eastAsia="zh-CN"/>
                    </w:rPr>
                    <w:t>总</w:t>
                  </w:r>
                  <w:r>
                    <w:rPr>
                      <w:b/>
                      <w:bCs w:val="0"/>
                      <w:szCs w:val="21"/>
                      <w:u w:val="single"/>
                    </w:rPr>
                    <w:t>容积</w:t>
                  </w:r>
                  <w:r>
                    <w:rPr>
                      <w:rFonts w:hint="eastAsia"/>
                      <w:b/>
                      <w:bCs w:val="0"/>
                      <w:color w:val="auto"/>
                      <w:szCs w:val="21"/>
                      <w:u w:val="single"/>
                      <w:lang w:val="en-US" w:eastAsia="zh-CN"/>
                    </w:rPr>
                    <w:t>192</w:t>
                  </w:r>
                  <w:r>
                    <w:rPr>
                      <w:b/>
                      <w:bCs w:val="0"/>
                      <w:szCs w:val="21"/>
                      <w:u w:val="single"/>
                    </w:rPr>
                    <w:t>m</w:t>
                  </w:r>
                  <w:r>
                    <w:rPr>
                      <w:b/>
                      <w:bCs w:val="0"/>
                      <w:szCs w:val="21"/>
                      <w:u w:val="single"/>
                      <w:vertAlign w:val="superscript"/>
                    </w:rPr>
                    <w:t>3</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restart"/>
                  <w:noWrap/>
                  <w:tcMar>
                    <w:top w:w="28" w:type="dxa"/>
                    <w:bottom w:w="28" w:type="dxa"/>
                  </w:tcMar>
                  <w:vAlign w:val="center"/>
                </w:tcPr>
                <w:p>
                  <w:pPr>
                    <w:spacing w:line="240" w:lineRule="atLeast"/>
                    <w:jc w:val="center"/>
                    <w:rPr>
                      <w:bCs/>
                      <w:szCs w:val="21"/>
                    </w:rPr>
                  </w:pPr>
                  <w:r>
                    <w:rPr>
                      <w:bCs/>
                      <w:szCs w:val="21"/>
                    </w:rPr>
                    <w:t>3</w:t>
                  </w:r>
                </w:p>
              </w:tc>
              <w:tc>
                <w:tcPr>
                  <w:tcW w:w="554" w:type="dxa"/>
                  <w:vMerge w:val="restart"/>
                  <w:noWrap/>
                  <w:tcMar>
                    <w:top w:w="28" w:type="dxa"/>
                    <w:bottom w:w="28" w:type="dxa"/>
                  </w:tcMar>
                  <w:vAlign w:val="center"/>
                </w:tcPr>
                <w:p>
                  <w:pPr>
                    <w:spacing w:line="240" w:lineRule="atLeast"/>
                    <w:jc w:val="center"/>
                    <w:rPr>
                      <w:bCs/>
                      <w:szCs w:val="21"/>
                    </w:rPr>
                  </w:pPr>
                  <w:r>
                    <w:rPr>
                      <w:bCs/>
                      <w:szCs w:val="21"/>
                    </w:rPr>
                    <w:t>固废</w:t>
                  </w:r>
                </w:p>
              </w:tc>
              <w:tc>
                <w:tcPr>
                  <w:tcW w:w="997" w:type="dxa"/>
                  <w:noWrap/>
                  <w:tcMar>
                    <w:top w:w="28" w:type="dxa"/>
                    <w:bottom w:w="28" w:type="dxa"/>
                  </w:tcMar>
                  <w:vAlign w:val="center"/>
                </w:tcPr>
                <w:p>
                  <w:pPr>
                    <w:spacing w:line="360" w:lineRule="atLeast"/>
                    <w:jc w:val="center"/>
                    <w:rPr>
                      <w:bCs/>
                      <w:szCs w:val="21"/>
                    </w:rPr>
                  </w:pPr>
                  <w:r>
                    <w:rPr>
                      <w:rFonts w:ascii="Times New Roman" w:hAnsi="Times New Roman" w:eastAsia="宋体"/>
                      <w:b w:val="0"/>
                      <w:bCs w:val="0"/>
                      <w:szCs w:val="21"/>
                      <w:u w:val="none"/>
                    </w:rPr>
                    <w:t>生活垃圾</w:t>
                  </w:r>
                </w:p>
              </w:tc>
              <w:tc>
                <w:tcPr>
                  <w:tcW w:w="2878" w:type="dxa"/>
                  <w:noWrap/>
                  <w:tcMar>
                    <w:top w:w="28" w:type="dxa"/>
                    <w:bottom w:w="28" w:type="dxa"/>
                  </w:tcMar>
                  <w:vAlign w:val="center"/>
                </w:tcPr>
                <w:p>
                  <w:pPr>
                    <w:spacing w:line="240" w:lineRule="atLeast"/>
                    <w:jc w:val="center"/>
                    <w:rPr>
                      <w:bCs/>
                      <w:szCs w:val="21"/>
                    </w:rPr>
                  </w:pPr>
                  <w:r>
                    <w:rPr>
                      <w:rFonts w:ascii="Times New Roman" w:hAnsi="Times New Roman" w:eastAsia="宋体"/>
                      <w:b w:val="0"/>
                      <w:bCs w:val="0"/>
                      <w:szCs w:val="21"/>
                      <w:u w:val="none"/>
                    </w:rPr>
                    <w:t>垃圾桶</w:t>
                  </w:r>
                  <w:r>
                    <w:rPr>
                      <w:rFonts w:hint="eastAsia" w:ascii="Times New Roman" w:hAnsi="Times New Roman" w:eastAsia="宋体"/>
                      <w:b w:val="0"/>
                      <w:bCs w:val="0"/>
                      <w:szCs w:val="21"/>
                      <w:u w:val="none"/>
                      <w:lang w:eastAsia="zh-CN"/>
                    </w:rPr>
                    <w:t>收集后</w:t>
                  </w:r>
                  <w:r>
                    <w:rPr>
                      <w:rFonts w:ascii="Times New Roman" w:hAnsi="Times New Roman" w:eastAsia="宋体"/>
                      <w:b w:val="0"/>
                      <w:bCs w:val="0"/>
                      <w:szCs w:val="21"/>
                      <w:u w:val="none"/>
                    </w:rPr>
                    <w:t>由当地环卫部门处理</w:t>
                  </w:r>
                </w:p>
              </w:tc>
              <w:tc>
                <w:tcPr>
                  <w:tcW w:w="691" w:type="dxa"/>
                  <w:noWrap/>
                  <w:tcMar>
                    <w:top w:w="28" w:type="dxa"/>
                    <w:bottom w:w="28" w:type="dxa"/>
                  </w:tcMar>
                  <w:vAlign w:val="center"/>
                </w:tcPr>
                <w:p>
                  <w:pPr>
                    <w:spacing w:line="240" w:lineRule="atLeast"/>
                    <w:jc w:val="center"/>
                    <w:rPr>
                      <w:bCs/>
                      <w:szCs w:val="21"/>
                    </w:rPr>
                  </w:pPr>
                  <w:r>
                    <w:rPr>
                      <w:bCs/>
                      <w:szCs w:val="21"/>
                    </w:rPr>
                    <w:t>/</w:t>
                  </w:r>
                </w:p>
              </w:tc>
              <w:tc>
                <w:tcPr>
                  <w:tcW w:w="2270" w:type="dxa"/>
                  <w:vMerge w:val="restart"/>
                  <w:noWrap/>
                  <w:tcMar>
                    <w:top w:w="28" w:type="dxa"/>
                    <w:bottom w:w="28" w:type="dxa"/>
                  </w:tcMar>
                  <w:vAlign w:val="center"/>
                </w:tcPr>
                <w:p>
                  <w:pPr>
                    <w:spacing w:line="240" w:lineRule="atLeast"/>
                    <w:jc w:val="center"/>
                    <w:rPr>
                      <w:bCs/>
                      <w:szCs w:val="21"/>
                    </w:rPr>
                  </w:pPr>
                  <w:r>
                    <w:rPr>
                      <w:rFonts w:ascii="Times New Roman" w:hAnsi="Times New Roman" w:eastAsia="宋体"/>
                      <w:b w:val="0"/>
                      <w:bCs w:val="0"/>
                      <w:kern w:val="0"/>
                      <w:szCs w:val="21"/>
                      <w:u w:val="none"/>
                    </w:rPr>
                    <w:t>《一般工业固体废物贮存、处置场污染控制标准》（GB18599-2001）及修改单</w:t>
                  </w:r>
                </w:p>
              </w:tc>
              <w:tc>
                <w:tcPr>
                  <w:tcW w:w="914" w:type="dxa"/>
                  <w:noWrap/>
                  <w:tcMar>
                    <w:top w:w="28" w:type="dxa"/>
                    <w:bottom w:w="28" w:type="dxa"/>
                  </w:tcMar>
                  <w:vAlign w:val="center"/>
                </w:tcPr>
                <w:p>
                  <w:pPr>
                    <w:spacing w:line="240" w:lineRule="atLeast"/>
                    <w:jc w:val="center"/>
                    <w:rPr>
                      <w:bCs/>
                      <w:szCs w:val="21"/>
                    </w:rPr>
                  </w:pPr>
                  <w:r>
                    <w:rPr>
                      <w:bCs/>
                      <w:szCs w:val="21"/>
                    </w:rPr>
                    <w:t>0.</w:t>
                  </w:r>
                  <w:r>
                    <w:rPr>
                      <w:rFonts w:hint="eastAsia"/>
                      <w:bCs/>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rFonts w:hint="eastAsia" w:eastAsia="宋体"/>
                      <w:bCs/>
                      <w:szCs w:val="21"/>
                      <w:lang w:eastAsia="zh-CN"/>
                    </w:rPr>
                  </w:pPr>
                  <w:r>
                    <w:rPr>
                      <w:rFonts w:hint="eastAsia"/>
                      <w:bCs/>
                      <w:szCs w:val="21"/>
                      <w:lang w:eastAsia="zh-CN"/>
                    </w:rPr>
                    <w:t>不合格湿坯</w:t>
                  </w:r>
                </w:p>
              </w:tc>
              <w:tc>
                <w:tcPr>
                  <w:tcW w:w="2878" w:type="dxa"/>
                  <w:noWrap/>
                  <w:tcMar>
                    <w:top w:w="28" w:type="dxa"/>
                    <w:bottom w:w="28" w:type="dxa"/>
                  </w:tcMar>
                  <w:vAlign w:val="center"/>
                </w:tcPr>
                <w:p>
                  <w:pPr>
                    <w:spacing w:line="240" w:lineRule="atLeast"/>
                    <w:jc w:val="center"/>
                    <w:rPr>
                      <w:bCs/>
                      <w:szCs w:val="21"/>
                    </w:rPr>
                  </w:pPr>
                  <w:r>
                    <w:rPr>
                      <w:rFonts w:hint="eastAsia" w:ascii="Times New Roman" w:hAnsi="Times New Roman" w:eastAsia="宋体"/>
                      <w:b w:val="0"/>
                      <w:bCs w:val="0"/>
                      <w:szCs w:val="21"/>
                      <w:u w:val="none"/>
                      <w:lang w:eastAsia="zh-CN"/>
                    </w:rPr>
                    <w:t>收集后</w:t>
                  </w:r>
                  <w:r>
                    <w:rPr>
                      <w:rFonts w:hint="eastAsia"/>
                      <w:b w:val="0"/>
                      <w:bCs w:val="0"/>
                      <w:szCs w:val="21"/>
                      <w:u w:val="none"/>
                      <w:lang w:eastAsia="zh-CN"/>
                    </w:rPr>
                    <w:t>回用于生产</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rFonts w:hint="eastAsia"/>
                      <w:bCs/>
                      <w:szCs w:val="21"/>
                      <w:lang w:eastAsia="zh-CN"/>
                    </w:rPr>
                  </w:pPr>
                  <w:r>
                    <w:rPr>
                      <w:rFonts w:hint="eastAsia"/>
                      <w:bCs/>
                      <w:szCs w:val="21"/>
                      <w:lang w:eastAsia="zh-CN"/>
                    </w:rPr>
                    <w:t>不合格干坯</w:t>
                  </w:r>
                </w:p>
              </w:tc>
              <w:tc>
                <w:tcPr>
                  <w:tcW w:w="2878" w:type="dxa"/>
                  <w:noWrap/>
                  <w:tcMar>
                    <w:top w:w="28" w:type="dxa"/>
                    <w:bottom w:w="28" w:type="dxa"/>
                  </w:tcMar>
                  <w:vAlign w:val="center"/>
                </w:tcPr>
                <w:p>
                  <w:pPr>
                    <w:spacing w:line="240" w:lineRule="atLeast"/>
                    <w:jc w:val="center"/>
                    <w:rPr>
                      <w:rFonts w:hint="eastAsia" w:ascii="Times New Roman" w:hAnsi="Times New Roman" w:eastAsia="宋体"/>
                      <w:b w:val="0"/>
                      <w:bCs w:val="0"/>
                      <w:szCs w:val="21"/>
                      <w:u w:val="none"/>
                      <w:lang w:eastAsia="zh-CN"/>
                    </w:rPr>
                  </w:pPr>
                  <w:r>
                    <w:rPr>
                      <w:rFonts w:hint="eastAsia" w:ascii="Times New Roman" w:hAnsi="Times New Roman" w:eastAsia="宋体"/>
                      <w:b w:val="0"/>
                      <w:bCs w:val="0"/>
                      <w:szCs w:val="21"/>
                      <w:u w:val="none"/>
                      <w:lang w:eastAsia="zh-CN"/>
                    </w:rPr>
                    <w:t>收集后外售</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rFonts w:hint="eastAsia" w:eastAsia="宋体"/>
                      <w:bCs/>
                      <w:szCs w:val="21"/>
                      <w:lang w:eastAsia="zh-CN"/>
                    </w:rPr>
                  </w:pPr>
                  <w:r>
                    <w:rPr>
                      <w:rFonts w:hint="eastAsia"/>
                      <w:bCs/>
                      <w:szCs w:val="21"/>
                      <w:lang w:eastAsia="zh-CN"/>
                    </w:rPr>
                    <w:t>沉淀池沉渣</w:t>
                  </w:r>
                </w:p>
              </w:tc>
              <w:tc>
                <w:tcPr>
                  <w:tcW w:w="2878" w:type="dxa"/>
                  <w:noWrap/>
                  <w:tcMar>
                    <w:top w:w="28" w:type="dxa"/>
                    <w:bottom w:w="28" w:type="dxa"/>
                  </w:tcMar>
                  <w:vAlign w:val="center"/>
                </w:tcPr>
                <w:p>
                  <w:pPr>
                    <w:spacing w:line="240" w:lineRule="atLeast"/>
                    <w:jc w:val="center"/>
                    <w:rPr>
                      <w:rFonts w:hint="eastAsia" w:ascii="Times New Roman" w:hAnsi="Times New Roman" w:eastAsia="宋体"/>
                      <w:b w:val="0"/>
                      <w:bCs w:val="0"/>
                      <w:szCs w:val="21"/>
                      <w:u w:val="none"/>
                      <w:lang w:eastAsia="zh-CN"/>
                    </w:rPr>
                  </w:pPr>
                  <w:r>
                    <w:rPr>
                      <w:rFonts w:hint="eastAsia" w:ascii="Times New Roman" w:hAnsi="Times New Roman" w:eastAsia="宋体"/>
                      <w:b w:val="0"/>
                      <w:bCs w:val="0"/>
                      <w:szCs w:val="21"/>
                      <w:u w:val="none"/>
                      <w:lang w:eastAsia="zh-CN"/>
                    </w:rPr>
                    <w:t>收集后</w:t>
                  </w:r>
                  <w:r>
                    <w:rPr>
                      <w:rFonts w:hint="eastAsia"/>
                      <w:b w:val="0"/>
                      <w:bCs w:val="0"/>
                      <w:szCs w:val="21"/>
                      <w:u w:val="none"/>
                      <w:lang w:eastAsia="zh-CN"/>
                    </w:rPr>
                    <w:t>回用于生产</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bCs/>
                      <w:szCs w:val="21"/>
                    </w:rPr>
                  </w:pPr>
                  <w:r>
                    <w:rPr>
                      <w:rFonts w:ascii="Times New Roman" w:hAnsi="Times New Roman" w:eastAsia="宋体"/>
                      <w:b w:val="0"/>
                      <w:bCs w:val="0"/>
                      <w:szCs w:val="21"/>
                      <w:u w:val="none"/>
                    </w:rPr>
                    <w:t>除尘器收</w:t>
                  </w:r>
                  <w:r>
                    <w:rPr>
                      <w:rFonts w:hint="eastAsia" w:ascii="Times New Roman" w:hAnsi="Times New Roman" w:eastAsia="宋体"/>
                      <w:b w:val="0"/>
                      <w:bCs w:val="0"/>
                      <w:szCs w:val="21"/>
                      <w:u w:val="none"/>
                      <w:lang w:eastAsia="zh-CN"/>
                    </w:rPr>
                    <w:t>集颗粒物</w:t>
                  </w:r>
                </w:p>
              </w:tc>
              <w:tc>
                <w:tcPr>
                  <w:tcW w:w="2878" w:type="dxa"/>
                  <w:noWrap/>
                  <w:tcMar>
                    <w:top w:w="28" w:type="dxa"/>
                    <w:bottom w:w="28" w:type="dxa"/>
                  </w:tcMar>
                  <w:vAlign w:val="center"/>
                </w:tcPr>
                <w:p>
                  <w:pPr>
                    <w:spacing w:line="240" w:lineRule="atLeast"/>
                    <w:jc w:val="center"/>
                    <w:rPr>
                      <w:bCs/>
                      <w:szCs w:val="21"/>
                    </w:rPr>
                  </w:pPr>
                  <w:r>
                    <w:rPr>
                      <w:rFonts w:hint="eastAsia" w:ascii="Times New Roman" w:hAnsi="Times New Roman" w:eastAsia="宋体"/>
                      <w:b w:val="0"/>
                      <w:bCs w:val="0"/>
                      <w:szCs w:val="21"/>
                      <w:u w:val="none"/>
                      <w:lang w:eastAsia="zh-CN"/>
                    </w:rPr>
                    <w:t>收集后</w:t>
                  </w:r>
                  <w:r>
                    <w:rPr>
                      <w:rFonts w:hint="eastAsia"/>
                      <w:b w:val="0"/>
                      <w:bCs w:val="0"/>
                      <w:szCs w:val="21"/>
                      <w:u w:val="none"/>
                      <w:lang w:eastAsia="zh-CN"/>
                    </w:rPr>
                    <w:t>回用于生产</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noWrap/>
                  <w:tcMar>
                    <w:top w:w="28" w:type="dxa"/>
                    <w:bottom w:w="28" w:type="dxa"/>
                  </w:tcMar>
                  <w:vAlign w:val="center"/>
                </w:tcPr>
                <w:p>
                  <w:pPr>
                    <w:spacing w:line="240" w:lineRule="atLeast"/>
                    <w:jc w:val="center"/>
                    <w:rPr>
                      <w:bCs/>
                      <w:szCs w:val="21"/>
                    </w:rPr>
                  </w:pPr>
                  <w:r>
                    <w:rPr>
                      <w:bCs/>
                      <w:szCs w:val="21"/>
                    </w:rPr>
                    <w:t>4</w:t>
                  </w:r>
                </w:p>
              </w:tc>
              <w:tc>
                <w:tcPr>
                  <w:tcW w:w="1551" w:type="dxa"/>
                  <w:gridSpan w:val="2"/>
                  <w:noWrap/>
                  <w:tcMar>
                    <w:top w:w="28" w:type="dxa"/>
                    <w:bottom w:w="28" w:type="dxa"/>
                  </w:tcMar>
                  <w:vAlign w:val="center"/>
                </w:tcPr>
                <w:p>
                  <w:pPr>
                    <w:spacing w:line="240" w:lineRule="atLeast"/>
                    <w:jc w:val="center"/>
                    <w:rPr>
                      <w:bCs/>
                      <w:szCs w:val="21"/>
                    </w:rPr>
                  </w:pPr>
                  <w:r>
                    <w:rPr>
                      <w:bCs/>
                      <w:szCs w:val="21"/>
                    </w:rPr>
                    <w:t>噪声</w:t>
                  </w:r>
                </w:p>
              </w:tc>
              <w:tc>
                <w:tcPr>
                  <w:tcW w:w="2878" w:type="dxa"/>
                  <w:noWrap/>
                  <w:tcMar>
                    <w:top w:w="28" w:type="dxa"/>
                    <w:bottom w:w="28" w:type="dxa"/>
                  </w:tcMar>
                  <w:vAlign w:val="center"/>
                </w:tcPr>
                <w:p>
                  <w:pPr>
                    <w:spacing w:line="240" w:lineRule="atLeast"/>
                    <w:jc w:val="center"/>
                    <w:rPr>
                      <w:bCs/>
                      <w:szCs w:val="21"/>
                    </w:rPr>
                  </w:pPr>
                  <w:r>
                    <w:rPr>
                      <w:bCs/>
                      <w:szCs w:val="21"/>
                    </w:rPr>
                    <w:t>设备隔声、基础减振等</w:t>
                  </w:r>
                </w:p>
              </w:tc>
              <w:tc>
                <w:tcPr>
                  <w:tcW w:w="691" w:type="dxa"/>
                  <w:noWrap/>
                  <w:tcMar>
                    <w:top w:w="28" w:type="dxa"/>
                    <w:bottom w:w="28" w:type="dxa"/>
                  </w:tcMar>
                  <w:vAlign w:val="center"/>
                </w:tcPr>
                <w:p>
                  <w:pPr>
                    <w:spacing w:line="240" w:lineRule="atLeast"/>
                    <w:jc w:val="center"/>
                    <w:rPr>
                      <w:bCs/>
                      <w:szCs w:val="21"/>
                    </w:rPr>
                  </w:pPr>
                  <w:r>
                    <w:rPr>
                      <w:bCs/>
                      <w:szCs w:val="21"/>
                    </w:rPr>
                    <w:t>/</w:t>
                  </w:r>
                </w:p>
              </w:tc>
              <w:tc>
                <w:tcPr>
                  <w:tcW w:w="2270" w:type="dxa"/>
                  <w:noWrap/>
                  <w:tcMar>
                    <w:top w:w="28" w:type="dxa"/>
                    <w:bottom w:w="28" w:type="dxa"/>
                  </w:tcMar>
                  <w:vAlign w:val="center"/>
                </w:tcPr>
                <w:p>
                  <w:pPr>
                    <w:spacing w:line="240" w:lineRule="atLeast"/>
                    <w:jc w:val="center"/>
                    <w:rPr>
                      <w:bCs/>
                      <w:szCs w:val="21"/>
                    </w:rPr>
                  </w:pPr>
                  <w:r>
                    <w:rPr>
                      <w:bCs/>
                      <w:szCs w:val="21"/>
                    </w:rPr>
                    <w:t>满足《工业企业厂界环境噪声排放标准》（GB12348-2008）中2类标准</w:t>
                  </w: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1967" w:type="dxa"/>
                  <w:gridSpan w:val="3"/>
                  <w:noWrap/>
                  <w:tcMar>
                    <w:top w:w="28" w:type="dxa"/>
                    <w:bottom w:w="28" w:type="dxa"/>
                  </w:tcMar>
                  <w:vAlign w:val="center"/>
                </w:tcPr>
                <w:p>
                  <w:pPr>
                    <w:spacing w:line="240" w:lineRule="atLeast"/>
                    <w:jc w:val="center"/>
                    <w:rPr>
                      <w:bCs/>
                      <w:szCs w:val="21"/>
                    </w:rPr>
                  </w:pPr>
                  <w:r>
                    <w:rPr>
                      <w:bCs/>
                      <w:szCs w:val="21"/>
                    </w:rPr>
                    <w:t>合计</w:t>
                  </w:r>
                </w:p>
              </w:tc>
              <w:tc>
                <w:tcPr>
                  <w:tcW w:w="2878" w:type="dxa"/>
                  <w:noWrap/>
                  <w:tcMar>
                    <w:top w:w="28" w:type="dxa"/>
                    <w:bottom w:w="28" w:type="dxa"/>
                  </w:tcMar>
                  <w:vAlign w:val="center"/>
                </w:tcPr>
                <w:p>
                  <w:pPr>
                    <w:spacing w:line="240" w:lineRule="atLeast"/>
                    <w:jc w:val="center"/>
                    <w:rPr>
                      <w:bCs/>
                      <w:szCs w:val="21"/>
                    </w:rPr>
                  </w:pPr>
                </w:p>
              </w:tc>
              <w:tc>
                <w:tcPr>
                  <w:tcW w:w="691" w:type="dxa"/>
                  <w:noWrap/>
                  <w:tcMar>
                    <w:top w:w="28" w:type="dxa"/>
                    <w:bottom w:w="28" w:type="dxa"/>
                  </w:tcMar>
                  <w:vAlign w:val="center"/>
                </w:tcPr>
                <w:p>
                  <w:pPr>
                    <w:spacing w:line="240" w:lineRule="atLeast"/>
                    <w:jc w:val="center"/>
                    <w:rPr>
                      <w:bCs/>
                      <w:szCs w:val="21"/>
                    </w:rPr>
                  </w:pPr>
                </w:p>
              </w:tc>
              <w:tc>
                <w:tcPr>
                  <w:tcW w:w="2270" w:type="dxa"/>
                  <w:noWrap/>
                  <w:tcMar>
                    <w:top w:w="28" w:type="dxa"/>
                    <w:bottom w:w="28" w:type="dxa"/>
                  </w:tcMar>
                  <w:vAlign w:val="center"/>
                </w:tcPr>
                <w:p>
                  <w:pPr>
                    <w:spacing w:line="240" w:lineRule="atLeast"/>
                    <w:jc w:val="center"/>
                    <w:rPr>
                      <w:bCs/>
                      <w:szCs w:val="21"/>
                    </w:rPr>
                  </w:pPr>
                </w:p>
              </w:tc>
              <w:tc>
                <w:tcPr>
                  <w:tcW w:w="914" w:type="dxa"/>
                  <w:noWrap/>
                  <w:tcMar>
                    <w:top w:w="28" w:type="dxa"/>
                    <w:bottom w:w="28" w:type="dxa"/>
                  </w:tcMar>
                  <w:vAlign w:val="center"/>
                </w:tcPr>
                <w:p>
                  <w:pPr>
                    <w:spacing w:line="240" w:lineRule="atLeast"/>
                    <w:jc w:val="center"/>
                    <w:rPr>
                      <w:rFonts w:hint="default" w:eastAsia="宋体"/>
                      <w:bCs/>
                      <w:szCs w:val="21"/>
                      <w:lang w:val="en-US" w:eastAsia="zh-CN"/>
                    </w:rPr>
                  </w:pPr>
                  <w:r>
                    <w:rPr>
                      <w:rFonts w:hint="eastAsia"/>
                      <w:bCs/>
                      <w:szCs w:val="21"/>
                      <w:lang w:val="en-US" w:eastAsia="zh-CN"/>
                    </w:rPr>
                    <w:t>15.1</w:t>
                  </w:r>
                </w:p>
              </w:tc>
            </w:tr>
          </w:tbl>
          <w:p>
            <w:pPr>
              <w:spacing w:line="520" w:lineRule="exact"/>
              <w:rPr>
                <w:sz w:val="24"/>
              </w:rPr>
            </w:pPr>
          </w:p>
        </w:tc>
      </w:tr>
    </w:tbl>
    <w:p>
      <w:pPr>
        <w:spacing w:line="360" w:lineRule="auto"/>
        <w:rPr>
          <w:sz w:val="28"/>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建设项目拟采取的防治措施及预期治理效果</w:t>
      </w:r>
    </w:p>
    <w:tbl>
      <w:tblPr>
        <w:tblStyle w:val="32"/>
        <w:tblW w:w="894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182"/>
        <w:gridCol w:w="1309"/>
        <w:gridCol w:w="2932"/>
        <w:gridCol w:w="27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tcBorders>
              <w:top w:val="single" w:color="auto" w:sz="4" w:space="0"/>
              <w:left w:val="single" w:color="auto" w:sz="4" w:space="0"/>
              <w:bottom w:val="single" w:color="auto" w:sz="4" w:space="0"/>
              <w:right w:val="single" w:color="auto" w:sz="4" w:space="0"/>
              <w:tl2br w:val="single" w:color="auto" w:sz="4" w:space="0"/>
            </w:tcBorders>
            <w:noWrap/>
          </w:tcPr>
          <w:p>
            <w:pPr>
              <w:spacing w:line="280" w:lineRule="atLeast"/>
              <w:jc w:val="right"/>
              <w:rPr>
                <w:b/>
                <w:sz w:val="24"/>
              </w:rPr>
            </w:pPr>
            <w:r>
              <w:rPr>
                <w:b/>
                <w:sz w:val="24"/>
              </w:rPr>
              <w:t>内容</w:t>
            </w:r>
          </w:p>
          <w:p>
            <w:pPr>
              <w:spacing w:line="280" w:lineRule="atLeast"/>
              <w:rPr>
                <w:b/>
                <w:sz w:val="24"/>
              </w:rPr>
            </w:pPr>
            <w:r>
              <w:rPr>
                <w:b/>
                <w:sz w:val="24"/>
              </w:rPr>
              <w:t>类型</w:t>
            </w:r>
          </w:p>
        </w:tc>
        <w:tc>
          <w:tcPr>
            <w:tcW w:w="1182" w:type="dxa"/>
            <w:tcBorders>
              <w:left w:val="single" w:color="auto" w:sz="4" w:space="0"/>
            </w:tcBorders>
            <w:noWrap/>
            <w:vAlign w:val="center"/>
          </w:tcPr>
          <w:p>
            <w:pPr>
              <w:spacing w:line="280" w:lineRule="atLeast"/>
              <w:jc w:val="center"/>
              <w:rPr>
                <w:b/>
                <w:sz w:val="24"/>
              </w:rPr>
            </w:pPr>
            <w:r>
              <w:rPr>
                <w:b/>
                <w:sz w:val="24"/>
              </w:rPr>
              <w:t>排放源</w:t>
            </w:r>
          </w:p>
        </w:tc>
        <w:tc>
          <w:tcPr>
            <w:tcW w:w="1309" w:type="dxa"/>
            <w:noWrap/>
            <w:vAlign w:val="center"/>
          </w:tcPr>
          <w:p>
            <w:pPr>
              <w:spacing w:line="280" w:lineRule="atLeast"/>
              <w:jc w:val="center"/>
              <w:rPr>
                <w:b/>
                <w:sz w:val="24"/>
              </w:rPr>
            </w:pPr>
            <w:r>
              <w:rPr>
                <w:b/>
                <w:sz w:val="24"/>
              </w:rPr>
              <w:t>污染物名称</w:t>
            </w:r>
          </w:p>
        </w:tc>
        <w:tc>
          <w:tcPr>
            <w:tcW w:w="2932" w:type="dxa"/>
            <w:noWrap/>
            <w:vAlign w:val="center"/>
          </w:tcPr>
          <w:p>
            <w:pPr>
              <w:spacing w:line="280" w:lineRule="atLeast"/>
              <w:jc w:val="center"/>
              <w:rPr>
                <w:b/>
                <w:sz w:val="24"/>
              </w:rPr>
            </w:pPr>
            <w:r>
              <w:rPr>
                <w:b/>
                <w:sz w:val="24"/>
              </w:rPr>
              <w:t>防治措施</w:t>
            </w:r>
          </w:p>
        </w:tc>
        <w:tc>
          <w:tcPr>
            <w:tcW w:w="2734" w:type="dxa"/>
            <w:noWrap/>
            <w:vAlign w:val="center"/>
          </w:tcPr>
          <w:p>
            <w:pPr>
              <w:spacing w:line="280" w:lineRule="atLeast"/>
              <w:jc w:val="center"/>
              <w:rPr>
                <w:b/>
                <w:sz w:val="24"/>
              </w:rPr>
            </w:pPr>
            <w:r>
              <w:rPr>
                <w:b/>
                <w:sz w:val="24"/>
              </w:rPr>
              <w:t>预期治理效果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restart"/>
            <w:tcBorders>
              <w:top w:val="single" w:color="auto" w:sz="4" w:space="0"/>
              <w:bottom w:val="single" w:color="auto" w:sz="4" w:space="0"/>
            </w:tcBorders>
            <w:noWrap/>
            <w:vAlign w:val="center"/>
          </w:tcPr>
          <w:p>
            <w:pPr>
              <w:spacing w:line="280" w:lineRule="atLeast"/>
              <w:jc w:val="center"/>
              <w:rPr>
                <w:b/>
                <w:sz w:val="24"/>
              </w:rPr>
            </w:pPr>
            <w:r>
              <w:rPr>
                <w:b/>
                <w:sz w:val="24"/>
              </w:rPr>
              <w:t>大</w:t>
            </w:r>
          </w:p>
          <w:p>
            <w:pPr>
              <w:spacing w:line="280" w:lineRule="atLeast"/>
              <w:jc w:val="center"/>
              <w:rPr>
                <w:b/>
                <w:sz w:val="24"/>
              </w:rPr>
            </w:pPr>
            <w:r>
              <w:rPr>
                <w:b/>
                <w:sz w:val="24"/>
              </w:rPr>
              <w:t>气</w:t>
            </w:r>
          </w:p>
          <w:p>
            <w:pPr>
              <w:spacing w:line="280" w:lineRule="atLeast"/>
              <w:jc w:val="center"/>
              <w:rPr>
                <w:b/>
                <w:sz w:val="24"/>
              </w:rPr>
            </w:pPr>
            <w:r>
              <w:rPr>
                <w:b/>
                <w:sz w:val="24"/>
              </w:rPr>
              <w:t>污</w:t>
            </w:r>
          </w:p>
          <w:p>
            <w:pPr>
              <w:spacing w:line="280" w:lineRule="atLeast"/>
              <w:jc w:val="center"/>
              <w:rPr>
                <w:b/>
                <w:sz w:val="24"/>
              </w:rPr>
            </w:pPr>
            <w:r>
              <w:rPr>
                <w:b/>
                <w:sz w:val="24"/>
              </w:rPr>
              <w:t>染</w:t>
            </w:r>
          </w:p>
          <w:p>
            <w:pPr>
              <w:spacing w:line="280" w:lineRule="atLeast"/>
              <w:jc w:val="center"/>
              <w:rPr>
                <w:b/>
                <w:sz w:val="24"/>
              </w:rPr>
            </w:pPr>
            <w:r>
              <w:rPr>
                <w:b/>
                <w:sz w:val="24"/>
              </w:rPr>
              <w:t>物</w:t>
            </w:r>
          </w:p>
        </w:tc>
        <w:tc>
          <w:tcPr>
            <w:tcW w:w="1182" w:type="dxa"/>
            <w:noWrap/>
            <w:vAlign w:val="center"/>
          </w:tcPr>
          <w:p>
            <w:pPr>
              <w:jc w:val="center"/>
              <w:rPr>
                <w:rFonts w:hint="eastAsia" w:eastAsia="宋体"/>
                <w:szCs w:val="21"/>
                <w:lang w:eastAsia="zh-CN"/>
              </w:rPr>
            </w:pPr>
            <w:r>
              <w:rPr>
                <w:szCs w:val="21"/>
              </w:rPr>
              <w:t>水泥罐</w:t>
            </w:r>
            <w:r>
              <w:rPr>
                <w:rFonts w:hint="eastAsia"/>
                <w:szCs w:val="21"/>
                <w:lang w:eastAsia="zh-CN"/>
              </w:rPr>
              <w:t>及粉煤灰罐</w:t>
            </w:r>
          </w:p>
        </w:tc>
        <w:tc>
          <w:tcPr>
            <w:tcW w:w="1309" w:type="dxa"/>
            <w:noWrap/>
            <w:vAlign w:val="center"/>
          </w:tcPr>
          <w:p>
            <w:pPr>
              <w:jc w:val="center"/>
              <w:rPr>
                <w:rFonts w:hint="eastAsia" w:eastAsia="宋体"/>
                <w:szCs w:val="21"/>
                <w:lang w:eastAsia="zh-CN"/>
              </w:rPr>
            </w:pPr>
            <w:r>
              <w:rPr>
                <w:rFonts w:hint="eastAsia"/>
                <w:szCs w:val="21"/>
                <w:lang w:eastAsia="zh-CN"/>
              </w:rPr>
              <w:t>颗粒物</w:t>
            </w:r>
          </w:p>
        </w:tc>
        <w:tc>
          <w:tcPr>
            <w:tcW w:w="2932" w:type="dxa"/>
            <w:noWrap/>
            <w:vAlign w:val="center"/>
          </w:tcPr>
          <w:p>
            <w:pPr>
              <w:spacing w:line="280" w:lineRule="atLeast"/>
              <w:jc w:val="center"/>
              <w:rPr>
                <w:rFonts w:hint="eastAsia" w:eastAsia="宋体"/>
                <w:szCs w:val="21"/>
                <w:lang w:eastAsia="zh-CN"/>
              </w:rPr>
            </w:pPr>
            <w:r>
              <w:rPr>
                <w:szCs w:val="21"/>
              </w:rPr>
              <w:t>经</w:t>
            </w:r>
            <w:r>
              <w:rPr>
                <w:rFonts w:hint="eastAsia"/>
                <w:szCs w:val="21"/>
                <w:lang w:eastAsia="zh-CN"/>
              </w:rPr>
              <w:t>仓顶脉冲</w:t>
            </w:r>
            <w:r>
              <w:rPr>
                <w:szCs w:val="21"/>
              </w:rPr>
              <w:t>袋式除尘器处理后，</w:t>
            </w:r>
            <w:r>
              <w:rPr>
                <w:rFonts w:hint="eastAsia"/>
                <w:szCs w:val="21"/>
                <w:lang w:eastAsia="zh-CN"/>
              </w:rPr>
              <w:t>引入搅拌机配套除尘器中处理</w:t>
            </w:r>
          </w:p>
        </w:tc>
        <w:tc>
          <w:tcPr>
            <w:tcW w:w="2734" w:type="dxa"/>
            <w:vMerge w:val="restart"/>
            <w:noWrap/>
            <w:vAlign w:val="center"/>
          </w:tcPr>
          <w:p>
            <w:pPr>
              <w:spacing w:line="280" w:lineRule="atLeast"/>
              <w:jc w:val="center"/>
              <w:rPr>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w:t>
            </w:r>
            <w:r>
              <w:rPr>
                <w:rFonts w:hint="eastAsia"/>
                <w:bCs/>
                <w:szCs w:val="21"/>
                <w:lang w:val="en-US" w:eastAsia="zh-CN"/>
              </w:rPr>
              <w:t>1</w:t>
            </w:r>
            <w:r>
              <w:rPr>
                <w:bCs/>
                <w:szCs w:val="21"/>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kern w:val="0"/>
                <w:szCs w:val="21"/>
              </w:rPr>
            </w:pPr>
            <w:r>
              <w:rPr>
                <w:rFonts w:hint="eastAsia"/>
                <w:kern w:val="0"/>
                <w:szCs w:val="21"/>
                <w:lang w:eastAsia="zh-CN"/>
              </w:rPr>
              <w:t>输送、投料</w:t>
            </w:r>
            <w:r>
              <w:rPr>
                <w:kern w:val="0"/>
                <w:szCs w:val="21"/>
              </w:rPr>
              <w:t>、搅拌</w:t>
            </w:r>
          </w:p>
        </w:tc>
        <w:tc>
          <w:tcPr>
            <w:tcW w:w="1309" w:type="dxa"/>
            <w:noWrap/>
            <w:vAlign w:val="center"/>
          </w:tcPr>
          <w:p>
            <w:pPr>
              <w:jc w:val="center"/>
              <w:rPr>
                <w:color w:val="auto"/>
                <w:szCs w:val="21"/>
              </w:rPr>
            </w:pPr>
            <w:r>
              <w:rPr>
                <w:rFonts w:hint="eastAsia"/>
                <w:szCs w:val="21"/>
                <w:lang w:eastAsia="zh-CN"/>
              </w:rPr>
              <w:t>颗粒物</w:t>
            </w:r>
          </w:p>
        </w:tc>
        <w:tc>
          <w:tcPr>
            <w:tcW w:w="2932" w:type="dxa"/>
            <w:noWrap/>
            <w:vAlign w:val="center"/>
          </w:tcPr>
          <w:p>
            <w:pPr>
              <w:spacing w:line="280" w:lineRule="atLeast"/>
              <w:jc w:val="center"/>
              <w:rPr>
                <w:color w:val="auto"/>
                <w:szCs w:val="21"/>
              </w:rPr>
            </w:pPr>
            <w:r>
              <w:rPr>
                <w:rFonts w:hint="eastAsia"/>
                <w:color w:val="auto"/>
                <w:szCs w:val="21"/>
                <w:lang w:eastAsia="zh-CN"/>
              </w:rPr>
              <w:t>各产尘节点均采用</w:t>
            </w:r>
            <w:r>
              <w:rPr>
                <w:color w:val="auto"/>
                <w:szCs w:val="21"/>
              </w:rPr>
              <w:t>封闭式输送方式，皮带输送机受料点、卸料点设置密闭罩</w:t>
            </w:r>
            <w:r>
              <w:rPr>
                <w:rFonts w:hint="eastAsia"/>
                <w:color w:val="auto"/>
                <w:szCs w:val="21"/>
                <w:lang w:eastAsia="zh-CN"/>
              </w:rPr>
              <w:t>，</w:t>
            </w:r>
            <w:r>
              <w:rPr>
                <w:color w:val="auto"/>
                <w:szCs w:val="21"/>
              </w:rPr>
              <w:t>经袋式除尘器处理后，通过15m高空排放</w:t>
            </w:r>
          </w:p>
        </w:tc>
        <w:tc>
          <w:tcPr>
            <w:tcW w:w="2734" w:type="dxa"/>
            <w:vMerge w:val="continue"/>
            <w:noWrap/>
            <w:vAlign w:val="center"/>
          </w:tcPr>
          <w:p>
            <w:pPr>
              <w:spacing w:line="28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rFonts w:hint="eastAsia"/>
                <w:kern w:val="0"/>
                <w:szCs w:val="21"/>
                <w:lang w:eastAsia="zh-CN"/>
              </w:rPr>
            </w:pPr>
            <w:r>
              <w:rPr>
                <w:rFonts w:hint="eastAsia"/>
                <w:kern w:val="0"/>
                <w:szCs w:val="21"/>
                <w:lang w:eastAsia="zh-CN"/>
              </w:rPr>
              <w:t>骨料装卸</w:t>
            </w:r>
          </w:p>
        </w:tc>
        <w:tc>
          <w:tcPr>
            <w:tcW w:w="1309" w:type="dxa"/>
            <w:noWrap/>
            <w:vAlign w:val="center"/>
          </w:tcPr>
          <w:p>
            <w:pPr>
              <w:jc w:val="center"/>
              <w:rPr>
                <w:rFonts w:hint="eastAsia"/>
                <w:szCs w:val="21"/>
                <w:lang w:eastAsia="zh-CN"/>
              </w:rPr>
            </w:pPr>
            <w:r>
              <w:rPr>
                <w:rFonts w:hint="eastAsia"/>
                <w:szCs w:val="21"/>
                <w:lang w:eastAsia="zh-CN"/>
              </w:rPr>
              <w:t>颗粒物</w:t>
            </w:r>
          </w:p>
        </w:tc>
        <w:tc>
          <w:tcPr>
            <w:tcW w:w="2932" w:type="dxa"/>
            <w:noWrap/>
            <w:vAlign w:val="center"/>
          </w:tcPr>
          <w:p>
            <w:pPr>
              <w:spacing w:line="280" w:lineRule="atLeast"/>
              <w:jc w:val="center"/>
              <w:rPr>
                <w:rFonts w:hint="eastAsia"/>
                <w:color w:val="auto"/>
                <w:szCs w:val="21"/>
                <w:lang w:eastAsia="zh-CN"/>
              </w:rPr>
            </w:pPr>
            <w:r>
              <w:rPr>
                <w:rFonts w:hint="eastAsia"/>
                <w:color w:val="auto"/>
                <w:szCs w:val="21"/>
                <w:lang w:eastAsia="zh-CN"/>
              </w:rPr>
              <w:t>全封闭原料库，原料库上方安装喷干雾装置</w:t>
            </w:r>
          </w:p>
        </w:tc>
        <w:tc>
          <w:tcPr>
            <w:tcW w:w="2734" w:type="dxa"/>
            <w:vMerge w:val="restart"/>
            <w:noWrap/>
            <w:vAlign w:val="center"/>
          </w:tcPr>
          <w:p>
            <w:pPr>
              <w:spacing w:line="280" w:lineRule="atLeast"/>
              <w:jc w:val="center"/>
              <w:rPr>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w:t>
            </w:r>
            <w:r>
              <w:rPr>
                <w:rFonts w:hint="eastAsia"/>
                <w:bCs/>
                <w:szCs w:val="21"/>
                <w:lang w:val="en-US" w:eastAsia="zh-CN"/>
              </w:rPr>
              <w:t>2</w:t>
            </w:r>
            <w:r>
              <w:rPr>
                <w:bCs/>
                <w:szCs w:val="21"/>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kern w:val="0"/>
                <w:szCs w:val="21"/>
              </w:rPr>
              <w:t>道路扬尘</w:t>
            </w:r>
          </w:p>
        </w:tc>
        <w:tc>
          <w:tcPr>
            <w:tcW w:w="1309" w:type="dxa"/>
            <w:noWrap/>
            <w:vAlign w:val="center"/>
          </w:tcPr>
          <w:p>
            <w:pPr>
              <w:jc w:val="center"/>
              <w:rPr>
                <w:szCs w:val="21"/>
              </w:rPr>
            </w:pPr>
            <w:r>
              <w:rPr>
                <w:rFonts w:hint="eastAsia"/>
                <w:szCs w:val="21"/>
                <w:lang w:eastAsia="zh-CN"/>
              </w:rPr>
              <w:t>颗粒物</w:t>
            </w:r>
          </w:p>
        </w:tc>
        <w:tc>
          <w:tcPr>
            <w:tcW w:w="2932" w:type="dxa"/>
            <w:noWrap/>
            <w:vAlign w:val="center"/>
          </w:tcPr>
          <w:p>
            <w:pPr>
              <w:spacing w:line="280" w:lineRule="atLeast"/>
              <w:jc w:val="center"/>
              <w:rPr>
                <w:szCs w:val="21"/>
              </w:rPr>
            </w:pPr>
            <w:r>
              <w:rPr>
                <w:szCs w:val="21"/>
              </w:rPr>
              <w:t>厂区道路硬化，在进出口设置车辆自动冲洗装置，并派专人对厂区道路及时清扫和洒水</w:t>
            </w:r>
          </w:p>
        </w:tc>
        <w:tc>
          <w:tcPr>
            <w:tcW w:w="2734" w:type="dxa"/>
            <w:vMerge w:val="continue"/>
            <w:noWrap/>
            <w:vAlign w:val="center"/>
          </w:tcPr>
          <w:p>
            <w:pPr>
              <w:spacing w:line="28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restart"/>
            <w:tcBorders>
              <w:top w:val="single" w:color="auto" w:sz="4" w:space="0"/>
              <w:bottom w:val="single" w:color="auto" w:sz="4" w:space="0"/>
            </w:tcBorders>
            <w:noWrap/>
            <w:vAlign w:val="center"/>
          </w:tcPr>
          <w:p>
            <w:pPr>
              <w:spacing w:line="280" w:lineRule="atLeast"/>
              <w:jc w:val="center"/>
              <w:rPr>
                <w:b/>
                <w:sz w:val="24"/>
              </w:rPr>
            </w:pPr>
            <w:r>
              <w:rPr>
                <w:b/>
                <w:sz w:val="24"/>
              </w:rPr>
              <w:t>水</w:t>
            </w:r>
          </w:p>
          <w:p>
            <w:pPr>
              <w:spacing w:line="280" w:lineRule="atLeast"/>
              <w:jc w:val="center"/>
              <w:rPr>
                <w:b/>
                <w:sz w:val="24"/>
              </w:rPr>
            </w:pPr>
            <w:r>
              <w:rPr>
                <w:b/>
                <w:sz w:val="24"/>
              </w:rPr>
              <w:t>污</w:t>
            </w:r>
          </w:p>
          <w:p>
            <w:pPr>
              <w:spacing w:line="280" w:lineRule="atLeast"/>
              <w:jc w:val="center"/>
              <w:rPr>
                <w:b/>
                <w:sz w:val="24"/>
              </w:rPr>
            </w:pPr>
            <w:r>
              <w:rPr>
                <w:b/>
                <w:sz w:val="24"/>
              </w:rPr>
              <w:t>染</w:t>
            </w:r>
          </w:p>
          <w:p>
            <w:pPr>
              <w:spacing w:line="280" w:lineRule="atLeast"/>
              <w:jc w:val="center"/>
              <w:rPr>
                <w:b/>
                <w:sz w:val="24"/>
              </w:rPr>
            </w:pPr>
            <w:r>
              <w:rPr>
                <w:b/>
                <w:sz w:val="24"/>
              </w:rPr>
              <w:t>物</w:t>
            </w:r>
          </w:p>
        </w:tc>
        <w:tc>
          <w:tcPr>
            <w:tcW w:w="1182" w:type="dxa"/>
            <w:noWrap/>
            <w:vAlign w:val="center"/>
          </w:tcPr>
          <w:p>
            <w:pPr>
              <w:jc w:val="center"/>
              <w:rPr>
                <w:szCs w:val="21"/>
              </w:rPr>
            </w:pPr>
            <w:r>
              <w:rPr>
                <w:szCs w:val="21"/>
              </w:rPr>
              <w:t>场地、设备冲洗</w:t>
            </w:r>
          </w:p>
        </w:tc>
        <w:tc>
          <w:tcPr>
            <w:tcW w:w="1309" w:type="dxa"/>
            <w:noWrap/>
            <w:vAlign w:val="center"/>
          </w:tcPr>
          <w:p>
            <w:pPr>
              <w:jc w:val="center"/>
              <w:rPr>
                <w:szCs w:val="21"/>
              </w:rPr>
            </w:pPr>
            <w:r>
              <w:rPr>
                <w:szCs w:val="21"/>
              </w:rPr>
              <w:t>冲洗废水</w:t>
            </w:r>
          </w:p>
        </w:tc>
        <w:tc>
          <w:tcPr>
            <w:tcW w:w="2932" w:type="dxa"/>
            <w:noWrap/>
            <w:vAlign w:val="center"/>
          </w:tcPr>
          <w:p>
            <w:pPr>
              <w:jc w:val="center"/>
              <w:rPr>
                <w:szCs w:val="21"/>
              </w:rPr>
            </w:pPr>
            <w:r>
              <w:rPr>
                <w:szCs w:val="21"/>
              </w:rPr>
              <w:t>经沉淀池沉淀后作为生产用于回用于生产</w:t>
            </w:r>
          </w:p>
        </w:tc>
        <w:tc>
          <w:tcPr>
            <w:tcW w:w="2734" w:type="dxa"/>
            <w:noWrap/>
            <w:vAlign w:val="center"/>
          </w:tcPr>
          <w:p>
            <w:pPr>
              <w:adjustRightInd w:val="0"/>
              <w:snapToGrid w:val="0"/>
              <w:spacing w:line="240" w:lineRule="atLeast"/>
              <w:jc w:val="center"/>
              <w:rPr>
                <w:szCs w:val="21"/>
              </w:rPr>
            </w:pPr>
            <w:r>
              <w:rPr>
                <w:szCs w:val="21"/>
              </w:rPr>
              <w:t>综合利用，不外排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车辆冲洗</w:t>
            </w:r>
          </w:p>
        </w:tc>
        <w:tc>
          <w:tcPr>
            <w:tcW w:w="1309" w:type="dxa"/>
            <w:noWrap/>
            <w:vAlign w:val="center"/>
          </w:tcPr>
          <w:p>
            <w:pPr>
              <w:jc w:val="center"/>
              <w:rPr>
                <w:szCs w:val="21"/>
              </w:rPr>
            </w:pPr>
            <w:r>
              <w:rPr>
                <w:szCs w:val="21"/>
              </w:rPr>
              <w:t>冲洗废水</w:t>
            </w:r>
          </w:p>
        </w:tc>
        <w:tc>
          <w:tcPr>
            <w:tcW w:w="2932" w:type="dxa"/>
            <w:noWrap/>
            <w:vAlign w:val="center"/>
          </w:tcPr>
          <w:p>
            <w:pPr>
              <w:jc w:val="center"/>
              <w:rPr>
                <w:szCs w:val="21"/>
              </w:rPr>
            </w:pPr>
            <w:r>
              <w:rPr>
                <w:szCs w:val="21"/>
              </w:rPr>
              <w:t>经沉淀池沉淀后回用于车辆冲洗</w:t>
            </w:r>
          </w:p>
        </w:tc>
        <w:tc>
          <w:tcPr>
            <w:tcW w:w="2734" w:type="dxa"/>
            <w:noWrap/>
            <w:vAlign w:val="center"/>
          </w:tcPr>
          <w:p>
            <w:pPr>
              <w:adjustRightInd w:val="0"/>
              <w:snapToGrid w:val="0"/>
              <w:spacing w:line="240" w:lineRule="atLeast"/>
              <w:jc w:val="center"/>
              <w:rPr>
                <w:szCs w:val="21"/>
              </w:rPr>
            </w:pPr>
            <w:r>
              <w:rPr>
                <w:szCs w:val="21"/>
              </w:rPr>
              <w:t>综合利用，不外排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职工生活</w:t>
            </w:r>
          </w:p>
        </w:tc>
        <w:tc>
          <w:tcPr>
            <w:tcW w:w="1309" w:type="dxa"/>
            <w:noWrap/>
            <w:vAlign w:val="center"/>
          </w:tcPr>
          <w:p>
            <w:pPr>
              <w:jc w:val="center"/>
              <w:rPr>
                <w:szCs w:val="21"/>
              </w:rPr>
            </w:pPr>
            <w:r>
              <w:rPr>
                <w:szCs w:val="21"/>
              </w:rPr>
              <w:t>生活污水</w:t>
            </w:r>
          </w:p>
        </w:tc>
        <w:tc>
          <w:tcPr>
            <w:tcW w:w="2932" w:type="dxa"/>
            <w:noWrap/>
            <w:vAlign w:val="center"/>
          </w:tcPr>
          <w:p>
            <w:pPr>
              <w:jc w:val="center"/>
              <w:rPr>
                <w:szCs w:val="21"/>
              </w:rPr>
            </w:pPr>
            <w:r>
              <w:rPr>
                <w:szCs w:val="21"/>
              </w:rPr>
              <w:t>经化粪池处理，暂存池储存后，定期清运，周边农田施肥</w:t>
            </w:r>
          </w:p>
        </w:tc>
        <w:tc>
          <w:tcPr>
            <w:tcW w:w="2734" w:type="dxa"/>
            <w:noWrap/>
            <w:vAlign w:val="center"/>
          </w:tcPr>
          <w:p>
            <w:pPr>
              <w:adjustRightInd w:val="0"/>
              <w:snapToGrid w:val="0"/>
              <w:spacing w:line="240" w:lineRule="atLeast"/>
              <w:jc w:val="center"/>
              <w:rPr>
                <w:szCs w:val="21"/>
              </w:rPr>
            </w:pPr>
            <w:r>
              <w:rPr>
                <w:szCs w:val="21"/>
              </w:rPr>
              <w:t>综合利用，不外排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restart"/>
            <w:tcBorders>
              <w:top w:val="single" w:color="auto" w:sz="4" w:space="0"/>
              <w:bottom w:val="single" w:color="auto" w:sz="4" w:space="0"/>
            </w:tcBorders>
            <w:noWrap/>
            <w:vAlign w:val="center"/>
          </w:tcPr>
          <w:p>
            <w:pPr>
              <w:spacing w:line="280" w:lineRule="atLeast"/>
              <w:jc w:val="center"/>
              <w:rPr>
                <w:b/>
                <w:sz w:val="24"/>
              </w:rPr>
            </w:pPr>
            <w:r>
              <w:rPr>
                <w:b/>
                <w:sz w:val="24"/>
              </w:rPr>
              <w:t>固</w:t>
            </w:r>
          </w:p>
          <w:p>
            <w:pPr>
              <w:spacing w:line="280" w:lineRule="atLeast"/>
              <w:jc w:val="center"/>
              <w:rPr>
                <w:b/>
                <w:sz w:val="24"/>
              </w:rPr>
            </w:pPr>
            <w:r>
              <w:rPr>
                <w:b/>
                <w:sz w:val="24"/>
              </w:rPr>
              <w:t>体</w:t>
            </w:r>
          </w:p>
          <w:p>
            <w:pPr>
              <w:spacing w:line="280" w:lineRule="atLeast"/>
              <w:jc w:val="center"/>
              <w:rPr>
                <w:b/>
                <w:sz w:val="24"/>
              </w:rPr>
            </w:pPr>
            <w:r>
              <w:rPr>
                <w:b/>
                <w:sz w:val="24"/>
              </w:rPr>
              <w:t>废</w:t>
            </w:r>
          </w:p>
          <w:p>
            <w:pPr>
              <w:spacing w:line="280" w:lineRule="atLeast"/>
              <w:jc w:val="center"/>
              <w:rPr>
                <w:b/>
                <w:sz w:val="24"/>
              </w:rPr>
            </w:pPr>
            <w:r>
              <w:rPr>
                <w:b/>
                <w:sz w:val="24"/>
              </w:rPr>
              <w:t>物</w:t>
            </w:r>
          </w:p>
        </w:tc>
        <w:tc>
          <w:tcPr>
            <w:tcW w:w="1182" w:type="dxa"/>
            <w:noWrap/>
            <w:vAlign w:val="center"/>
          </w:tcPr>
          <w:p>
            <w:pPr>
              <w:jc w:val="center"/>
              <w:rPr>
                <w:szCs w:val="21"/>
              </w:rPr>
            </w:pPr>
            <w:r>
              <w:rPr>
                <w:szCs w:val="21"/>
              </w:rPr>
              <w:t>除尘器</w:t>
            </w:r>
          </w:p>
        </w:tc>
        <w:tc>
          <w:tcPr>
            <w:tcW w:w="1309" w:type="dxa"/>
            <w:noWrap/>
            <w:vAlign w:val="center"/>
          </w:tcPr>
          <w:p>
            <w:pPr>
              <w:jc w:val="center"/>
              <w:rPr>
                <w:szCs w:val="21"/>
              </w:rPr>
            </w:pPr>
            <w:r>
              <w:rPr>
                <w:szCs w:val="21"/>
              </w:rPr>
              <w:t>除尘固废</w:t>
            </w:r>
          </w:p>
        </w:tc>
        <w:tc>
          <w:tcPr>
            <w:tcW w:w="2932" w:type="dxa"/>
            <w:noWrap/>
            <w:vAlign w:val="center"/>
          </w:tcPr>
          <w:p>
            <w:pPr>
              <w:spacing w:line="280" w:lineRule="atLeast"/>
              <w:jc w:val="center"/>
              <w:rPr>
                <w:szCs w:val="21"/>
              </w:rPr>
            </w:pPr>
            <w:r>
              <w:rPr>
                <w:szCs w:val="21"/>
              </w:rPr>
              <w:t>收集后作为原料回用于生产</w:t>
            </w:r>
          </w:p>
        </w:tc>
        <w:tc>
          <w:tcPr>
            <w:tcW w:w="2734" w:type="dxa"/>
            <w:noWrap/>
            <w:vAlign w:val="center"/>
          </w:tcPr>
          <w:p>
            <w:pPr>
              <w:jc w:val="center"/>
              <w:rPr>
                <w:szCs w:val="21"/>
              </w:rPr>
            </w:pPr>
            <w:r>
              <w:rPr>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制砖机</w:t>
            </w:r>
          </w:p>
        </w:tc>
        <w:tc>
          <w:tcPr>
            <w:tcW w:w="1309" w:type="dxa"/>
            <w:noWrap/>
            <w:vAlign w:val="center"/>
          </w:tcPr>
          <w:p>
            <w:pPr>
              <w:jc w:val="center"/>
              <w:rPr>
                <w:szCs w:val="21"/>
              </w:rPr>
            </w:pPr>
            <w:r>
              <w:rPr>
                <w:szCs w:val="21"/>
              </w:rPr>
              <w:t>不合格湿坯</w:t>
            </w:r>
          </w:p>
        </w:tc>
        <w:tc>
          <w:tcPr>
            <w:tcW w:w="2932" w:type="dxa"/>
            <w:noWrap/>
            <w:vAlign w:val="center"/>
          </w:tcPr>
          <w:p>
            <w:pPr>
              <w:spacing w:line="280" w:lineRule="atLeast"/>
              <w:jc w:val="center"/>
              <w:rPr>
                <w:szCs w:val="21"/>
              </w:rPr>
            </w:pPr>
            <w:r>
              <w:rPr>
                <w:szCs w:val="21"/>
              </w:rPr>
              <w:t>收集后可作为原料投入搅拌机，回用于生产</w:t>
            </w:r>
          </w:p>
        </w:tc>
        <w:tc>
          <w:tcPr>
            <w:tcW w:w="2734" w:type="dxa"/>
            <w:noWrap/>
            <w:vAlign w:val="center"/>
          </w:tcPr>
          <w:p>
            <w:pPr>
              <w:jc w:val="center"/>
              <w:rPr>
                <w:szCs w:val="21"/>
              </w:rPr>
            </w:pPr>
            <w:r>
              <w:rPr>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晾晒养护</w:t>
            </w:r>
          </w:p>
        </w:tc>
        <w:tc>
          <w:tcPr>
            <w:tcW w:w="1309" w:type="dxa"/>
            <w:noWrap/>
            <w:vAlign w:val="center"/>
          </w:tcPr>
          <w:p>
            <w:pPr>
              <w:jc w:val="center"/>
              <w:rPr>
                <w:szCs w:val="21"/>
              </w:rPr>
            </w:pPr>
            <w:r>
              <w:rPr>
                <w:szCs w:val="21"/>
              </w:rPr>
              <w:t>不合格干坯</w:t>
            </w:r>
          </w:p>
        </w:tc>
        <w:tc>
          <w:tcPr>
            <w:tcW w:w="2932" w:type="dxa"/>
            <w:noWrap/>
            <w:vAlign w:val="center"/>
          </w:tcPr>
          <w:p>
            <w:pPr>
              <w:spacing w:line="280" w:lineRule="atLeast"/>
              <w:jc w:val="center"/>
              <w:rPr>
                <w:szCs w:val="21"/>
              </w:rPr>
            </w:pPr>
            <w:r>
              <w:rPr>
                <w:szCs w:val="21"/>
              </w:rPr>
              <w:t>收集后可随产品一起出售</w:t>
            </w:r>
          </w:p>
        </w:tc>
        <w:tc>
          <w:tcPr>
            <w:tcW w:w="2734" w:type="dxa"/>
            <w:noWrap/>
            <w:vAlign w:val="center"/>
          </w:tcPr>
          <w:p>
            <w:pPr>
              <w:jc w:val="center"/>
              <w:rPr>
                <w:szCs w:val="21"/>
              </w:rPr>
            </w:pPr>
            <w:r>
              <w:rPr>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职工生活</w:t>
            </w:r>
          </w:p>
        </w:tc>
        <w:tc>
          <w:tcPr>
            <w:tcW w:w="1309" w:type="dxa"/>
            <w:noWrap/>
            <w:vAlign w:val="center"/>
          </w:tcPr>
          <w:p>
            <w:pPr>
              <w:jc w:val="center"/>
              <w:rPr>
                <w:szCs w:val="21"/>
              </w:rPr>
            </w:pPr>
            <w:r>
              <w:rPr>
                <w:szCs w:val="21"/>
              </w:rPr>
              <w:t>生活垃圾</w:t>
            </w:r>
          </w:p>
        </w:tc>
        <w:tc>
          <w:tcPr>
            <w:tcW w:w="2932" w:type="dxa"/>
            <w:noWrap/>
            <w:vAlign w:val="center"/>
          </w:tcPr>
          <w:p>
            <w:pPr>
              <w:spacing w:line="280" w:lineRule="atLeast"/>
              <w:jc w:val="center"/>
              <w:rPr>
                <w:szCs w:val="21"/>
              </w:rPr>
            </w:pPr>
            <w:r>
              <w:rPr>
                <w:szCs w:val="21"/>
              </w:rPr>
              <w:t>送当地垃圾中转站，进入鲁山县生活垃圾填埋场卫生填埋</w:t>
            </w:r>
          </w:p>
        </w:tc>
        <w:tc>
          <w:tcPr>
            <w:tcW w:w="2734" w:type="dxa"/>
            <w:noWrap/>
            <w:vAlign w:val="center"/>
          </w:tcPr>
          <w:p>
            <w:pPr>
              <w:jc w:val="center"/>
              <w:rPr>
                <w:szCs w:val="21"/>
              </w:rPr>
            </w:pPr>
            <w:r>
              <w:rPr>
                <w:szCs w:val="21"/>
              </w:rPr>
              <w:t>合理处置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tcBorders>
              <w:top w:val="single" w:color="auto" w:sz="4" w:space="0"/>
            </w:tcBorders>
            <w:noWrap/>
            <w:vAlign w:val="center"/>
          </w:tcPr>
          <w:p>
            <w:pPr>
              <w:spacing w:line="280" w:lineRule="atLeast"/>
              <w:jc w:val="center"/>
              <w:rPr>
                <w:b/>
                <w:sz w:val="24"/>
              </w:rPr>
            </w:pPr>
            <w:r>
              <w:rPr>
                <w:b/>
                <w:sz w:val="24"/>
              </w:rPr>
              <w:t>噪</w:t>
            </w:r>
          </w:p>
          <w:p>
            <w:pPr>
              <w:spacing w:line="280" w:lineRule="atLeast"/>
              <w:jc w:val="center"/>
              <w:rPr>
                <w:b/>
                <w:sz w:val="24"/>
              </w:rPr>
            </w:pPr>
            <w:r>
              <w:rPr>
                <w:b/>
                <w:sz w:val="24"/>
              </w:rPr>
              <w:t>声</w:t>
            </w:r>
          </w:p>
        </w:tc>
        <w:tc>
          <w:tcPr>
            <w:tcW w:w="8157" w:type="dxa"/>
            <w:gridSpan w:val="4"/>
            <w:noWrap/>
            <w:vAlign w:val="center"/>
          </w:tcPr>
          <w:p>
            <w:pPr>
              <w:spacing w:line="360" w:lineRule="exact"/>
              <w:ind w:firstLine="420" w:firstLineChars="200"/>
              <w:rPr>
                <w:szCs w:val="21"/>
              </w:rPr>
            </w:pPr>
            <w:r>
              <w:rPr>
                <w:szCs w:val="21"/>
              </w:rPr>
              <w:t>项目营运后主要噪声设备有</w:t>
            </w:r>
            <w:r>
              <w:t>搅拌机、配料机、成型机、码垛机等</w:t>
            </w:r>
            <w:r>
              <w:rPr>
                <w:szCs w:val="21"/>
              </w:rPr>
              <w:t>，噪声源强为70～90dB（A），噪声源为固定声源。高噪声设备置于厂房内，并采取厂房隔声，消声、减振等措施治理后，厂界噪声满足《工业企业厂界环境噪声排放标准》（GB12348-2008）中2类标准限值，可以实现达标排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noWrap/>
            <w:vAlign w:val="center"/>
          </w:tcPr>
          <w:p>
            <w:pPr>
              <w:spacing w:line="280" w:lineRule="atLeast"/>
              <w:jc w:val="center"/>
              <w:rPr>
                <w:b/>
                <w:sz w:val="24"/>
              </w:rPr>
            </w:pPr>
            <w:r>
              <w:rPr>
                <w:b/>
                <w:sz w:val="24"/>
              </w:rPr>
              <w:t>其他</w:t>
            </w:r>
          </w:p>
        </w:tc>
        <w:tc>
          <w:tcPr>
            <w:tcW w:w="8157" w:type="dxa"/>
            <w:gridSpan w:val="4"/>
            <w:noWrap/>
            <w:vAlign w:val="center"/>
          </w:tcPr>
          <w:p>
            <w:pPr>
              <w:spacing w:line="280" w:lineRule="atLeast"/>
              <w:jc w:val="center"/>
              <w:rPr>
                <w:sz w:val="24"/>
              </w:rPr>
            </w:pP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946" w:type="dxa"/>
            <w:gridSpan w:val="5"/>
            <w:noWrap/>
            <w:vAlign w:val="center"/>
          </w:tcPr>
          <w:p>
            <w:pPr>
              <w:spacing w:line="400" w:lineRule="exact"/>
              <w:rPr>
                <w:b/>
                <w:bCs/>
                <w:sz w:val="24"/>
                <w:szCs w:val="24"/>
              </w:rPr>
            </w:pPr>
            <w:r>
              <w:rPr>
                <w:b/>
                <w:bCs/>
                <w:sz w:val="24"/>
                <w:szCs w:val="24"/>
              </w:rPr>
              <w:t>生态保护措施及预期效果</w:t>
            </w:r>
          </w:p>
          <w:p>
            <w:pPr>
              <w:tabs>
                <w:tab w:val="left" w:pos="304"/>
              </w:tabs>
              <w:adjustRightInd w:val="0"/>
              <w:snapToGrid w:val="0"/>
              <w:spacing w:line="400" w:lineRule="exact"/>
              <w:ind w:firstLine="482"/>
              <w:rPr>
                <w:rFonts w:hint="eastAsia"/>
                <w:lang w:eastAsia="zh-CN"/>
              </w:rPr>
            </w:pPr>
            <w:r>
              <w:rPr>
                <w:rFonts w:hint="eastAsia"/>
                <w:lang w:eastAsia="zh-CN"/>
              </w:rPr>
              <w:tab/>
            </w:r>
          </w:p>
          <w:p>
            <w:pPr>
              <w:tabs>
                <w:tab w:val="left" w:pos="304"/>
              </w:tabs>
              <w:adjustRightInd w:val="0"/>
              <w:snapToGrid w:val="0"/>
              <w:spacing w:line="400" w:lineRule="exact"/>
              <w:ind w:firstLine="482"/>
            </w:pPr>
            <w:r>
              <w:rPr>
                <w:rFonts w:hint="eastAsia"/>
                <w:lang w:val="en-US" w:eastAsia="zh-CN"/>
              </w:rPr>
              <w:t xml:space="preserve">   </w:t>
            </w:r>
            <w:r>
              <w:t>无。</w:t>
            </w:r>
          </w:p>
          <w:p/>
        </w:tc>
      </w:tr>
    </w:tbl>
    <w:p>
      <w:pPr>
        <w:spacing w:line="360" w:lineRule="auto"/>
        <w:rPr>
          <w:sz w:val="28"/>
        </w:rPr>
        <w:sectPr>
          <w:pgSz w:w="11906" w:h="16838"/>
          <w:pgMar w:top="1501" w:right="1588" w:bottom="1677"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结论与建议</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317" w:hRule="atLeast"/>
        </w:trPr>
        <w:tc>
          <w:tcPr>
            <w:tcW w:w="8946" w:type="dxa"/>
            <w:noWrap/>
          </w:tcPr>
          <w:p>
            <w:pPr>
              <w:spacing w:line="520" w:lineRule="exact"/>
              <w:ind w:firstLine="480" w:firstLineChars="200"/>
              <w:rPr>
                <w:rFonts w:eastAsia="黑体"/>
                <w:sz w:val="24"/>
              </w:rPr>
            </w:pPr>
            <w:r>
              <w:rPr>
                <w:rFonts w:eastAsia="黑体"/>
                <w:sz w:val="24"/>
              </w:rPr>
              <w:t>一、项目概况</w:t>
            </w:r>
          </w:p>
          <w:p>
            <w:pPr>
              <w:spacing w:line="520" w:lineRule="exact"/>
              <w:ind w:firstLine="480" w:firstLineChars="200"/>
              <w:rPr>
                <w:sz w:val="24"/>
              </w:rPr>
            </w:pPr>
            <w:r>
              <w:rPr>
                <w:rFonts w:hint="eastAsia"/>
                <w:sz w:val="24"/>
              </w:rPr>
              <w:t>平顶山市定坤水泥制品有限公司生产，加工水泥制品项目</w:t>
            </w:r>
            <w:r>
              <w:rPr>
                <w:sz w:val="24"/>
              </w:rPr>
              <w:t>总投资</w:t>
            </w:r>
            <w:r>
              <w:rPr>
                <w:rFonts w:hint="eastAsia"/>
                <w:sz w:val="24"/>
              </w:rPr>
              <w:t>1</w:t>
            </w:r>
            <w:r>
              <w:rPr>
                <w:sz w:val="24"/>
              </w:rPr>
              <w:t>00万元，建设地点位于</w:t>
            </w:r>
            <w:r>
              <w:rPr>
                <w:rFonts w:hint="eastAsia"/>
                <w:sz w:val="24"/>
              </w:rPr>
              <w:t>平顶山市鲁山县张良镇工业园区西南角</w:t>
            </w:r>
            <w:r>
              <w:rPr>
                <w:sz w:val="24"/>
              </w:rPr>
              <w:t>，厂区占地</w:t>
            </w:r>
            <w:r>
              <w:rPr>
                <w:rFonts w:hint="eastAsia"/>
                <w:sz w:val="24"/>
              </w:rPr>
              <w:t>6600平方米</w:t>
            </w:r>
            <w:r>
              <w:rPr>
                <w:sz w:val="24"/>
              </w:rPr>
              <w:t>。</w:t>
            </w:r>
            <w:r>
              <w:rPr>
                <w:rFonts w:hint="eastAsia"/>
                <w:sz w:val="24"/>
              </w:rPr>
              <w:t>建成后主要生产马路</w:t>
            </w:r>
            <w:r>
              <w:rPr>
                <w:sz w:val="24"/>
              </w:rPr>
              <w:t>透水砖、市政工程用砖</w:t>
            </w:r>
            <w:r>
              <w:rPr>
                <w:rFonts w:hint="eastAsia"/>
                <w:sz w:val="24"/>
              </w:rPr>
              <w:t>等水泥制品。劳动定员7人，年工作2400h。</w:t>
            </w:r>
          </w:p>
          <w:p>
            <w:pPr>
              <w:spacing w:line="520" w:lineRule="exact"/>
              <w:ind w:firstLine="480" w:firstLineChars="200"/>
              <w:rPr>
                <w:rFonts w:eastAsia="黑体"/>
                <w:sz w:val="24"/>
              </w:rPr>
            </w:pPr>
            <w:r>
              <w:rPr>
                <w:rFonts w:eastAsia="黑体"/>
                <w:sz w:val="24"/>
              </w:rPr>
              <w:t>二、评价结论</w:t>
            </w:r>
          </w:p>
          <w:p>
            <w:pPr>
              <w:spacing w:line="520" w:lineRule="exact"/>
              <w:ind w:firstLine="480" w:firstLineChars="200"/>
              <w:rPr>
                <w:rFonts w:eastAsia="黑体"/>
                <w:sz w:val="24"/>
              </w:rPr>
            </w:pPr>
            <w:r>
              <w:rPr>
                <w:rFonts w:eastAsia="黑体"/>
                <w:sz w:val="24"/>
              </w:rPr>
              <w:t>2.1政策及规划相符性</w:t>
            </w:r>
          </w:p>
          <w:p>
            <w:pPr>
              <w:spacing w:line="520" w:lineRule="exact"/>
              <w:ind w:firstLine="480" w:firstLineChars="200"/>
              <w:rPr>
                <w:sz w:val="24"/>
              </w:rPr>
            </w:pPr>
            <w:r>
              <w:rPr>
                <w:sz w:val="24"/>
              </w:rPr>
              <w:t>根据《产业结构调整指导目录（201</w:t>
            </w:r>
            <w:r>
              <w:rPr>
                <w:rFonts w:hint="eastAsia"/>
                <w:sz w:val="24"/>
                <w:lang w:val="en-US" w:eastAsia="zh-CN"/>
              </w:rPr>
              <w:t>9</w:t>
            </w:r>
            <w:r>
              <w:rPr>
                <w:sz w:val="24"/>
              </w:rPr>
              <w:t>年本）》，项目不属于限制类和淘汰类产品，本项目设备、产品及规模均不在限制类和淘汰类的范畴，根据《促进产业结构调整暂行规定》，属允许类；并经</w:t>
            </w:r>
            <w:r>
              <w:rPr>
                <w:rFonts w:hint="eastAsia"/>
                <w:sz w:val="24"/>
              </w:rPr>
              <w:t>鲁山县发展和改革委员会</w:t>
            </w:r>
            <w:r>
              <w:rPr>
                <w:sz w:val="24"/>
              </w:rPr>
              <w:t>备案，符合国家相关产业政策。项目不在《限制用地项目目录（2012年本）和《禁止用地项目目录（2012年本》的限制、禁止用地项目目录之列。</w:t>
            </w:r>
          </w:p>
          <w:p>
            <w:pPr>
              <w:spacing w:line="520" w:lineRule="exact"/>
              <w:ind w:firstLine="480" w:firstLineChars="200"/>
              <w:rPr>
                <w:color w:val="FF0000"/>
                <w:sz w:val="24"/>
              </w:rPr>
            </w:pPr>
            <w:r>
              <w:rPr>
                <w:rFonts w:hint="eastAsia"/>
                <w:color w:val="auto"/>
                <w:sz w:val="24"/>
              </w:rPr>
              <w:t>根据鲁山县张良镇国土规划环保办公室出具的证明，项目</w:t>
            </w:r>
            <w:r>
              <w:rPr>
                <w:color w:val="auto"/>
                <w:sz w:val="24"/>
              </w:rPr>
              <w:t>用地性质为工业用地</w:t>
            </w:r>
            <w:r>
              <w:rPr>
                <w:rFonts w:hint="eastAsia"/>
                <w:color w:val="auto"/>
                <w:sz w:val="24"/>
              </w:rPr>
              <w:t>，符合鲁山县张良镇总体规划；</w:t>
            </w:r>
            <w:r>
              <w:rPr>
                <w:color w:val="auto"/>
                <w:sz w:val="24"/>
              </w:rPr>
              <w:t>根据张良镇总体规划（2014-2030）用地规划图，本项目地块用地性质为</w:t>
            </w:r>
            <w:r>
              <w:rPr>
                <w:rFonts w:hint="eastAsia"/>
                <w:color w:val="auto"/>
                <w:sz w:val="24"/>
              </w:rPr>
              <w:t>工业</w:t>
            </w:r>
            <w:r>
              <w:rPr>
                <w:color w:val="auto"/>
                <w:sz w:val="24"/>
              </w:rPr>
              <w:t>用地，符合张良镇总体规划</w:t>
            </w:r>
            <w:r>
              <w:rPr>
                <w:rFonts w:hint="eastAsia"/>
                <w:color w:val="FF0000"/>
                <w:sz w:val="24"/>
              </w:rPr>
              <w:t>。</w:t>
            </w:r>
          </w:p>
          <w:p>
            <w:pPr>
              <w:spacing w:line="520" w:lineRule="exact"/>
              <w:ind w:firstLine="480" w:firstLineChars="200"/>
              <w:rPr>
                <w:rFonts w:eastAsia="黑体"/>
                <w:sz w:val="24"/>
              </w:rPr>
            </w:pPr>
            <w:r>
              <w:rPr>
                <w:rFonts w:eastAsia="黑体"/>
                <w:sz w:val="24"/>
              </w:rPr>
              <w:t>2.2环境质量现状评价结论</w:t>
            </w:r>
          </w:p>
          <w:p>
            <w:pPr>
              <w:spacing w:line="520" w:lineRule="exact"/>
              <w:ind w:firstLine="480"/>
              <w:rPr>
                <w:sz w:val="24"/>
              </w:rPr>
            </w:pPr>
            <w:r>
              <w:rPr>
                <w:sz w:val="24"/>
              </w:rPr>
              <w:t>（1）环境空气</w:t>
            </w:r>
          </w:p>
          <w:p>
            <w:pPr>
              <w:spacing w:line="520" w:lineRule="exact"/>
              <w:ind w:firstLine="480"/>
              <w:rPr>
                <w:sz w:val="24"/>
              </w:rPr>
            </w:pPr>
            <w:r>
              <w:rPr>
                <w:sz w:val="24"/>
              </w:rPr>
              <w:t>项目所在区域属于不达标区，通过采取措施的管控，</w:t>
            </w:r>
            <w:r>
              <w:rPr>
                <w:rFonts w:hint="eastAsia"/>
                <w:sz w:val="24"/>
              </w:rPr>
              <w:t>鲁山</w:t>
            </w:r>
            <w:r>
              <w:rPr>
                <w:sz w:val="24"/>
              </w:rPr>
              <w:t>县</w:t>
            </w:r>
            <w:r>
              <w:rPr>
                <w:rFonts w:hint="eastAsia"/>
                <w:sz w:val="24"/>
              </w:rPr>
              <w:t>环境空气</w:t>
            </w:r>
            <w:r>
              <w:rPr>
                <w:sz w:val="24"/>
              </w:rPr>
              <w:t>长远计划可以满足《环境空气质量标准》（GB3095-2012）二级标准的要求。</w:t>
            </w:r>
          </w:p>
          <w:p>
            <w:pPr>
              <w:spacing w:line="520" w:lineRule="exact"/>
              <w:ind w:firstLine="480"/>
              <w:rPr>
                <w:sz w:val="24"/>
              </w:rPr>
            </w:pPr>
            <w:r>
              <w:rPr>
                <w:sz w:val="24"/>
              </w:rPr>
              <w:t>（2）地表水</w:t>
            </w:r>
          </w:p>
          <w:p>
            <w:pPr>
              <w:spacing w:line="520" w:lineRule="exact"/>
              <w:ind w:firstLine="480"/>
              <w:rPr>
                <w:sz w:val="24"/>
              </w:rPr>
            </w:pPr>
            <w:r>
              <w:rPr>
                <w:sz w:val="24"/>
                <w:szCs w:val="22"/>
              </w:rPr>
              <w:t>根据</w:t>
            </w:r>
            <w:r>
              <w:rPr>
                <w:sz w:val="24"/>
              </w:rPr>
              <w:t>平顶山市</w:t>
            </w:r>
            <w:bookmarkStart w:id="0" w:name="_GoBack"/>
            <w:r>
              <w:rPr>
                <w:sz w:val="24"/>
              </w:rPr>
              <w:t>201</w:t>
            </w:r>
            <w:r>
              <w:rPr>
                <w:rFonts w:hint="eastAsia"/>
                <w:sz w:val="24"/>
                <w:lang w:val="en-US" w:eastAsia="zh-CN"/>
              </w:rPr>
              <w:t>9</w:t>
            </w:r>
            <w:bookmarkEnd w:id="0"/>
            <w:r>
              <w:rPr>
                <w:sz w:val="24"/>
              </w:rPr>
              <w:t>年市控地表水监测数据</w:t>
            </w:r>
            <w:r>
              <w:rPr>
                <w:sz w:val="24"/>
                <w:szCs w:val="22"/>
              </w:rPr>
              <w:t>，</w:t>
            </w:r>
            <w:r>
              <w:rPr>
                <w:spacing w:val="6"/>
                <w:kern w:val="0"/>
                <w:sz w:val="24"/>
                <w:szCs w:val="22"/>
              </w:rPr>
              <w:t>项目区地表水体</w:t>
            </w:r>
            <w:r>
              <w:rPr>
                <w:rFonts w:hint="eastAsia"/>
                <w:sz w:val="24"/>
                <w:szCs w:val="20"/>
              </w:rPr>
              <w:t>澎河</w:t>
            </w:r>
            <w:r>
              <w:rPr>
                <w:sz w:val="24"/>
                <w:szCs w:val="22"/>
              </w:rPr>
              <w:t>鲁山县境目前符合</w:t>
            </w:r>
            <w:r>
              <w:rPr>
                <w:sz w:val="24"/>
                <w:szCs w:val="22"/>
              </w:rPr>
              <w:fldChar w:fldCharType="begin"/>
            </w:r>
            <w:r>
              <w:rPr>
                <w:sz w:val="24"/>
                <w:szCs w:val="22"/>
              </w:rPr>
              <w:instrText xml:space="preserve"> = 3 \* ROMAN \* MERGEFORMAT </w:instrText>
            </w:r>
            <w:r>
              <w:rPr>
                <w:sz w:val="24"/>
                <w:szCs w:val="22"/>
              </w:rPr>
              <w:fldChar w:fldCharType="separate"/>
            </w:r>
            <w:r>
              <w:rPr>
                <w:sz w:val="24"/>
                <w:szCs w:val="22"/>
              </w:rPr>
              <w:t>III</w:t>
            </w:r>
            <w:r>
              <w:rPr>
                <w:sz w:val="24"/>
                <w:szCs w:val="22"/>
              </w:rPr>
              <w:fldChar w:fldCharType="end"/>
            </w:r>
            <w:r>
              <w:rPr>
                <w:spacing w:val="6"/>
                <w:kern w:val="0"/>
                <w:sz w:val="24"/>
                <w:szCs w:val="22"/>
              </w:rPr>
              <w:t>类</w:t>
            </w:r>
            <w:r>
              <w:rPr>
                <w:sz w:val="24"/>
                <w:szCs w:val="22"/>
              </w:rPr>
              <w:t>水质类别。</w:t>
            </w:r>
          </w:p>
          <w:p>
            <w:pPr>
              <w:spacing w:line="520" w:lineRule="exact"/>
              <w:ind w:firstLine="480"/>
              <w:rPr>
                <w:sz w:val="24"/>
              </w:rPr>
            </w:pPr>
            <w:r>
              <w:rPr>
                <w:sz w:val="24"/>
              </w:rPr>
              <w:t>（</w:t>
            </w:r>
            <w:r>
              <w:rPr>
                <w:rFonts w:hint="eastAsia"/>
                <w:sz w:val="24"/>
                <w:lang w:val="en-US" w:eastAsia="zh-CN"/>
              </w:rPr>
              <w:t>3</w:t>
            </w:r>
            <w:r>
              <w:rPr>
                <w:sz w:val="24"/>
              </w:rPr>
              <w:t>）声环境</w:t>
            </w:r>
          </w:p>
          <w:p>
            <w:pPr>
              <w:spacing w:line="520" w:lineRule="exact"/>
              <w:ind w:firstLine="480"/>
              <w:rPr>
                <w:sz w:val="24"/>
              </w:rPr>
            </w:pPr>
            <w:r>
              <w:rPr>
                <w:sz w:val="24"/>
              </w:rPr>
              <w:t>噪声现状监测数据表明项目所在区域噪声可以满足《声环境质量标准》（GB3096-2008）中2类区要求。</w:t>
            </w:r>
          </w:p>
          <w:p>
            <w:pPr>
              <w:spacing w:line="520" w:lineRule="exact"/>
              <w:ind w:firstLine="480" w:firstLineChars="200"/>
              <w:rPr>
                <w:rFonts w:eastAsia="黑体"/>
                <w:sz w:val="24"/>
              </w:rPr>
            </w:pPr>
            <w:r>
              <w:rPr>
                <w:rFonts w:eastAsia="黑体"/>
                <w:sz w:val="24"/>
              </w:rPr>
              <w:t>2.3环境影响评价结论</w:t>
            </w:r>
          </w:p>
          <w:p>
            <w:pPr>
              <w:spacing w:line="520" w:lineRule="exact"/>
              <w:ind w:firstLine="482"/>
              <w:rPr>
                <w:color w:val="auto"/>
                <w:sz w:val="24"/>
              </w:rPr>
            </w:pPr>
            <w:r>
              <w:rPr>
                <w:color w:val="auto"/>
                <w:sz w:val="24"/>
              </w:rPr>
              <w:t>（1）环境空气</w:t>
            </w:r>
          </w:p>
          <w:p>
            <w:pPr>
              <w:spacing w:line="520" w:lineRule="exact"/>
              <w:ind w:firstLine="480" w:firstLineChars="200"/>
              <w:rPr>
                <w:sz w:val="24"/>
              </w:rPr>
            </w:pPr>
            <w:r>
              <w:rPr>
                <w:sz w:val="24"/>
              </w:rPr>
              <w:t>本项目原料水泥</w:t>
            </w:r>
            <w:r>
              <w:rPr>
                <w:rFonts w:hint="eastAsia"/>
                <w:sz w:val="24"/>
                <w:lang w:eastAsia="zh-CN"/>
              </w:rPr>
              <w:t>、粉煤灰</w:t>
            </w:r>
            <w:r>
              <w:rPr>
                <w:sz w:val="24"/>
              </w:rPr>
              <w:t>采用罐车运输，厂区设置有水泥罐</w:t>
            </w:r>
            <w:r>
              <w:rPr>
                <w:rFonts w:hint="eastAsia"/>
                <w:sz w:val="24"/>
                <w:lang w:eastAsia="zh-CN"/>
              </w:rPr>
              <w:t>、粉煤灰罐</w:t>
            </w:r>
            <w:r>
              <w:rPr>
                <w:sz w:val="24"/>
              </w:rPr>
              <w:t>，不设置露天堆场；石沫、沙子等采用加盖篷布的汽车运输，厂区设置有原料仓库，不设置露天堆场。评价要求企业在原料仓库内设置自动</w:t>
            </w:r>
            <w:r>
              <w:rPr>
                <w:rFonts w:hint="eastAsia"/>
                <w:sz w:val="24"/>
                <w:lang w:eastAsia="zh-CN"/>
              </w:rPr>
              <w:t>喷干雾</w:t>
            </w:r>
            <w:r>
              <w:rPr>
                <w:sz w:val="24"/>
              </w:rPr>
              <w:t>设施，定时洒水，保持原料表面湿润，防止储运和装卸过程中起尘。</w:t>
            </w:r>
          </w:p>
          <w:p>
            <w:pPr>
              <w:spacing w:line="520" w:lineRule="exact"/>
              <w:ind w:firstLine="480" w:firstLineChars="200"/>
              <w:rPr>
                <w:color w:val="FF0000"/>
                <w:spacing w:val="-6"/>
                <w:sz w:val="24"/>
              </w:rPr>
            </w:pPr>
            <w:r>
              <w:rPr>
                <w:sz w:val="24"/>
              </w:rPr>
              <w:t>有组织</w:t>
            </w:r>
            <w:r>
              <w:rPr>
                <w:rFonts w:hint="eastAsia"/>
                <w:sz w:val="24"/>
                <w:lang w:eastAsia="zh-CN"/>
              </w:rPr>
              <w:t>颗粒物</w:t>
            </w:r>
            <w:r>
              <w:rPr>
                <w:sz w:val="24"/>
              </w:rPr>
              <w:t>：</w:t>
            </w:r>
            <w:r>
              <w:rPr>
                <w:color w:val="auto"/>
                <w:sz w:val="24"/>
              </w:rPr>
              <w:t>项目运营期水泥罐</w:t>
            </w:r>
            <w:r>
              <w:rPr>
                <w:rFonts w:hint="eastAsia"/>
                <w:color w:val="auto"/>
                <w:sz w:val="24"/>
                <w:lang w:eastAsia="zh-CN"/>
              </w:rPr>
              <w:t>仓及粉煤灰</w:t>
            </w:r>
            <w:r>
              <w:rPr>
                <w:color w:val="auto"/>
                <w:sz w:val="24"/>
              </w:rPr>
              <w:t>罐</w:t>
            </w:r>
            <w:r>
              <w:rPr>
                <w:rFonts w:hint="eastAsia"/>
                <w:color w:val="auto"/>
                <w:sz w:val="24"/>
                <w:lang w:eastAsia="zh-CN"/>
              </w:rPr>
              <w:t>仓颗粒物经仓顶除尘器处理后引入</w:t>
            </w:r>
            <w:r>
              <w:rPr>
                <w:color w:val="auto"/>
                <w:spacing w:val="-6"/>
                <w:sz w:val="24"/>
              </w:rPr>
              <w:t>搅拌</w:t>
            </w:r>
            <w:r>
              <w:rPr>
                <w:rFonts w:hint="eastAsia"/>
                <w:color w:val="auto"/>
                <w:spacing w:val="-6"/>
                <w:sz w:val="24"/>
                <w:lang w:eastAsia="zh-CN"/>
              </w:rPr>
              <w:t>机配套安装的袋式除尘器内，</w:t>
            </w:r>
            <w:r>
              <w:rPr>
                <w:rFonts w:hint="eastAsia"/>
                <w:sz w:val="24"/>
                <w:lang w:eastAsia="zh-CN"/>
              </w:rPr>
              <w:t>配料、搅拌产生的</w:t>
            </w:r>
            <w:r>
              <w:rPr>
                <w:rFonts w:hint="eastAsia"/>
                <w:color w:val="auto"/>
                <w:spacing w:val="-6"/>
                <w:sz w:val="24"/>
                <w:lang w:eastAsia="zh-CN"/>
              </w:rPr>
              <w:t>颗粒物经配套安装的袋式除尘器处理后经</w:t>
            </w:r>
            <w:r>
              <w:rPr>
                <w:rFonts w:hint="eastAsia"/>
                <w:color w:val="auto"/>
                <w:spacing w:val="-6"/>
                <w:sz w:val="24"/>
                <w:lang w:val="en-US" w:eastAsia="zh-CN"/>
              </w:rPr>
              <w:t>15m高排气筒排放。有组织</w:t>
            </w:r>
            <w:r>
              <w:rPr>
                <w:rFonts w:hint="eastAsia"/>
                <w:color w:val="auto"/>
                <w:spacing w:val="-6"/>
                <w:sz w:val="24"/>
                <w:lang w:eastAsia="zh-CN"/>
              </w:rPr>
              <w:t>颗粒物</w:t>
            </w:r>
            <w:r>
              <w:rPr>
                <w:color w:val="auto"/>
                <w:sz w:val="24"/>
              </w:rPr>
              <w:t>排放量为</w:t>
            </w:r>
            <w:r>
              <w:rPr>
                <w:rFonts w:hint="eastAsia"/>
                <w:color w:val="auto"/>
                <w:spacing w:val="-6"/>
                <w:sz w:val="24"/>
                <w:lang w:val="en-US" w:eastAsia="zh-CN"/>
              </w:rPr>
              <w:t>0.161</w:t>
            </w:r>
            <w:r>
              <w:rPr>
                <w:color w:val="auto"/>
                <w:spacing w:val="-6"/>
                <w:sz w:val="24"/>
              </w:rPr>
              <w:t>t/a、排放浓度</w:t>
            </w:r>
            <w:r>
              <w:rPr>
                <w:rFonts w:hint="eastAsia"/>
                <w:color w:val="auto"/>
                <w:spacing w:val="-6"/>
                <w:sz w:val="24"/>
                <w:lang w:val="en-US" w:eastAsia="zh-CN"/>
              </w:rPr>
              <w:t>6.71</w:t>
            </w:r>
            <w:r>
              <w:rPr>
                <w:color w:val="auto"/>
                <w:spacing w:val="-6"/>
                <w:sz w:val="24"/>
              </w:rPr>
              <w:t>mg/m</w:t>
            </w:r>
            <w:r>
              <w:rPr>
                <w:color w:val="auto"/>
                <w:spacing w:val="-6"/>
                <w:sz w:val="24"/>
                <w:vertAlign w:val="superscript"/>
              </w:rPr>
              <w:t>3</w:t>
            </w:r>
            <w:r>
              <w:rPr>
                <w:color w:val="auto"/>
                <w:spacing w:val="-6"/>
                <w:sz w:val="24"/>
              </w:rPr>
              <w:t>，其有组织</w:t>
            </w:r>
            <w:r>
              <w:rPr>
                <w:rFonts w:hint="eastAsia"/>
                <w:color w:val="auto"/>
                <w:spacing w:val="-6"/>
                <w:sz w:val="24"/>
                <w:lang w:eastAsia="zh-CN"/>
              </w:rPr>
              <w:t>颗粒物</w:t>
            </w:r>
            <w:r>
              <w:rPr>
                <w:color w:val="auto"/>
                <w:spacing w:val="-6"/>
                <w:sz w:val="24"/>
              </w:rPr>
              <w:t>排放浓度</w:t>
            </w:r>
            <w:r>
              <w:rPr>
                <w:color w:val="auto"/>
                <w:sz w:val="24"/>
              </w:rPr>
              <w:t>满足</w:t>
            </w:r>
            <w:r>
              <w:rPr>
                <w:rFonts w:hint="eastAsia"/>
                <w:color w:val="auto"/>
                <w:sz w:val="24"/>
                <w:lang w:eastAsia="zh-CN"/>
              </w:rPr>
              <w:t>河南省地方标准</w:t>
            </w:r>
            <w:r>
              <w:rPr>
                <w:color w:val="auto"/>
                <w:sz w:val="24"/>
              </w:rPr>
              <w:t>《水泥工业大气污染物排放标准》（</w:t>
            </w:r>
            <w:r>
              <w:rPr>
                <w:rFonts w:hint="eastAsia"/>
                <w:color w:val="auto"/>
                <w:sz w:val="24"/>
                <w:lang w:val="en-US" w:eastAsia="zh-CN"/>
              </w:rPr>
              <w:t>D</w:t>
            </w:r>
            <w:r>
              <w:rPr>
                <w:color w:val="auto"/>
                <w:sz w:val="24"/>
              </w:rPr>
              <w:t>B</w:t>
            </w:r>
            <w:r>
              <w:rPr>
                <w:rFonts w:hint="eastAsia"/>
                <w:color w:val="auto"/>
                <w:sz w:val="24"/>
                <w:lang w:val="en-US" w:eastAsia="zh-CN"/>
              </w:rPr>
              <w:t>41/1953</w:t>
            </w:r>
            <w:r>
              <w:rPr>
                <w:color w:val="auto"/>
                <w:sz w:val="24"/>
              </w:rPr>
              <w:t>-</w:t>
            </w:r>
            <w:r>
              <w:rPr>
                <w:rFonts w:hint="eastAsia"/>
                <w:color w:val="auto"/>
                <w:sz w:val="24"/>
                <w:lang w:val="en-US" w:eastAsia="zh-CN"/>
              </w:rPr>
              <w:t>2020</w:t>
            </w:r>
            <w:r>
              <w:rPr>
                <w:color w:val="auto"/>
                <w:sz w:val="24"/>
              </w:rPr>
              <w:t>）表1标准</w:t>
            </w:r>
            <w:r>
              <w:rPr>
                <w:color w:val="auto"/>
                <w:spacing w:val="-6"/>
                <w:sz w:val="24"/>
              </w:rPr>
              <w:t>有组织排放浓度限值要求（</w:t>
            </w:r>
            <w:r>
              <w:rPr>
                <w:bCs/>
                <w:color w:val="auto"/>
                <w:sz w:val="24"/>
              </w:rPr>
              <w:t>排放浓度限值为</w:t>
            </w:r>
            <w:r>
              <w:rPr>
                <w:rFonts w:hint="eastAsia"/>
                <w:bCs/>
                <w:color w:val="auto"/>
                <w:sz w:val="24"/>
                <w:lang w:val="en-US" w:eastAsia="zh-CN"/>
              </w:rPr>
              <w:t>10</w:t>
            </w:r>
            <w:r>
              <w:rPr>
                <w:bCs/>
                <w:color w:val="auto"/>
                <w:sz w:val="24"/>
              </w:rPr>
              <w:t>mg/m</w:t>
            </w:r>
            <w:r>
              <w:rPr>
                <w:bCs/>
                <w:color w:val="auto"/>
                <w:sz w:val="24"/>
                <w:vertAlign w:val="superscript"/>
              </w:rPr>
              <w:t>3</w:t>
            </w:r>
            <w:r>
              <w:rPr>
                <w:color w:val="auto"/>
                <w:spacing w:val="-6"/>
                <w:sz w:val="24"/>
              </w:rPr>
              <w:t>）。</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由预测结果可知，本项目有组织颗粒物最大落地浓度出现在车间外</w:t>
            </w:r>
            <w:r>
              <w:rPr>
                <w:rFonts w:hint="eastAsia" w:cs="Times New Roman"/>
                <w:sz w:val="24"/>
                <w:lang w:val="en-US" w:eastAsia="zh-CN"/>
              </w:rPr>
              <w:t>199</w:t>
            </w:r>
            <w:r>
              <w:rPr>
                <w:rFonts w:hint="default" w:ascii="Times New Roman" w:hAnsi="Times New Roman" w:cs="Times New Roman"/>
                <w:sz w:val="24"/>
              </w:rPr>
              <w:t>m处，浓度为</w:t>
            </w:r>
            <w:r>
              <w:rPr>
                <w:rFonts w:hint="default" w:ascii="Times New Roman" w:hAnsi="Times New Roman" w:cs="Times New Roman"/>
                <w:sz w:val="24"/>
                <w:lang w:val="en-US" w:eastAsia="zh-CN"/>
              </w:rPr>
              <w:t>5.81E-03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，最大占标率为</w:t>
            </w:r>
            <w:r>
              <w:rPr>
                <w:rFonts w:hint="eastAsia" w:cs="Times New Roman"/>
                <w:sz w:val="24"/>
                <w:lang w:val="en-US" w:eastAsia="zh-CN"/>
              </w:rPr>
              <w:t>1.29</w:t>
            </w:r>
            <w:r>
              <w:rPr>
                <w:rFonts w:hint="default" w:ascii="Times New Roman" w:hAnsi="Times New Roman" w:cs="Times New Roman"/>
                <w:sz w:val="24"/>
              </w:rPr>
              <w:t>%，预测浓度均满足《环境空气质量标准》（GB3095-2012）二级标准要求，对周围环境影响小。</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无组织颗粒物最大落地浓度出现在车间外</w:t>
            </w:r>
            <w:r>
              <w:rPr>
                <w:rFonts w:hint="eastAsia" w:cs="Times New Roman"/>
                <w:sz w:val="24"/>
                <w:lang w:val="en-US" w:eastAsia="zh-CN"/>
              </w:rPr>
              <w:t>61</w:t>
            </w:r>
            <w:r>
              <w:rPr>
                <w:rFonts w:hint="default" w:ascii="Times New Roman" w:hAnsi="Times New Roman" w:cs="Times New Roman"/>
                <w:sz w:val="24"/>
              </w:rPr>
              <w:t>m处，浓度为</w:t>
            </w:r>
            <w:r>
              <w:rPr>
                <w:rFonts w:hint="eastAsia" w:ascii="Times New Roman" w:hAnsi="Times New Roman" w:cs="Times New Roman"/>
                <w:sz w:val="24"/>
                <w:lang w:val="en-US" w:eastAsia="zh-CN"/>
              </w:rPr>
              <w:t>2.98E-02</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3.31</w:t>
            </w:r>
            <w:r>
              <w:rPr>
                <w:rFonts w:hint="default" w:ascii="Times New Roman" w:hAnsi="Times New Roman" w:cs="Times New Roman"/>
                <w:sz w:val="24"/>
              </w:rPr>
              <w:t>%。</w:t>
            </w:r>
            <w:r>
              <w:rPr>
                <w:rFonts w:hint="default" w:ascii="Times New Roman" w:hAnsi="Times New Roman" w:cs="Times New Roman"/>
                <w:sz w:val="24"/>
                <w:lang w:eastAsia="zh-CN"/>
              </w:rPr>
              <w:t>敏感点</w:t>
            </w:r>
            <w:r>
              <w:rPr>
                <w:rFonts w:hint="default" w:ascii="Times New Roman" w:hAnsi="Times New Roman" w:cs="Times New Roman"/>
                <w:sz w:val="24"/>
              </w:rPr>
              <w:t>无组织颗粒物最大落地浓度为</w:t>
            </w:r>
            <w:r>
              <w:rPr>
                <w:rFonts w:hint="eastAsia" w:ascii="Times New Roman" w:hAnsi="Times New Roman" w:cs="Times New Roman"/>
                <w:sz w:val="24"/>
                <w:lang w:val="en-US" w:eastAsia="zh-CN"/>
              </w:rPr>
              <w:t>4.92E-03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0.55</w:t>
            </w:r>
            <w:r>
              <w:rPr>
                <w:rFonts w:hint="default" w:ascii="Times New Roman" w:hAnsi="Times New Roman" w:cs="Times New Roman"/>
                <w:sz w:val="24"/>
              </w:rPr>
              <w:t>%。预测浓度均满足《环境空气质量标准》（GB3095-2012）二级标准要求，对周围环境影响小。</w:t>
            </w:r>
          </w:p>
          <w:p>
            <w:pPr>
              <w:spacing w:line="52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rPr>
              <w:t>边界无组织颗粒物最大落地浓度为</w:t>
            </w:r>
            <w:r>
              <w:rPr>
                <w:rFonts w:hint="eastAsia" w:ascii="Times New Roman" w:hAnsi="Times New Roman" w:cs="Times New Roman"/>
                <w:sz w:val="24"/>
                <w:lang w:val="en-US" w:eastAsia="zh-CN"/>
              </w:rPr>
              <w:t>4.92E-03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1.57</w:t>
            </w:r>
            <w:r>
              <w:rPr>
                <w:rFonts w:hint="default" w:ascii="Times New Roman" w:hAnsi="Times New Roman" w:cs="Times New Roman"/>
                <w:sz w:val="24"/>
              </w:rPr>
              <w:t>%。无组织颗粒物最大落地浓度满足《大气污染物综合排放标准》（GB16297-1996）二级标准的要求（无组织排放监控浓度限值浓度1.0mg/m</w:t>
            </w:r>
            <w:r>
              <w:rPr>
                <w:rFonts w:hint="default" w:ascii="Times New Roman" w:hAnsi="Times New Roman" w:cs="Times New Roman"/>
                <w:sz w:val="24"/>
                <w:vertAlign w:val="superscript"/>
              </w:rPr>
              <w:t>3</w:t>
            </w:r>
            <w:r>
              <w:rPr>
                <w:rFonts w:hint="default" w:ascii="Times New Roman" w:hAnsi="Times New Roman" w:cs="Times New Roman"/>
                <w:sz w:val="24"/>
              </w:rPr>
              <w:t>）</w:t>
            </w:r>
            <w:r>
              <w:rPr>
                <w:rFonts w:hint="eastAsia" w:ascii="Times New Roman" w:hAnsi="Times New Roman" w:cs="Times New Roman"/>
                <w:sz w:val="24"/>
                <w:lang w:eastAsia="zh-CN"/>
              </w:rPr>
              <w:t>，</w:t>
            </w:r>
            <w:r>
              <w:rPr>
                <w:rFonts w:hint="default" w:ascii="Times New Roman" w:hAnsi="Times New Roman" w:eastAsia="宋体" w:cs="Times New Roman"/>
                <w:sz w:val="24"/>
                <w:szCs w:val="24"/>
                <w:lang w:val="en-US" w:eastAsia="zh-CN"/>
              </w:rPr>
              <w:t>对周围环境影响不大。</w:t>
            </w:r>
          </w:p>
          <w:p>
            <w:pPr>
              <w:spacing w:line="520" w:lineRule="exact"/>
              <w:ind w:firstLine="480" w:firstLineChars="200"/>
              <w:rPr>
                <w:bCs/>
                <w:sz w:val="24"/>
              </w:rPr>
            </w:pPr>
            <w:r>
              <w:rPr>
                <w:sz w:val="24"/>
              </w:rPr>
              <w:t>道路扬尘：对于车辆运输过程中产生的道路扬尘，通过采取厂区道路硬化、进出口设置车辆冲洗装置对进出厂区车辆进行冲洗，并安排专人</w:t>
            </w:r>
            <w:r>
              <w:rPr>
                <w:bCs/>
                <w:sz w:val="24"/>
              </w:rPr>
              <w:t>对厂区道路及时清扫及洒水等措施后，道路扬尘对周围环境空气影响不大。</w:t>
            </w:r>
          </w:p>
          <w:p>
            <w:pPr>
              <w:spacing w:line="500" w:lineRule="exact"/>
              <w:ind w:firstLine="480"/>
              <w:rPr>
                <w:sz w:val="24"/>
              </w:rPr>
            </w:pPr>
            <w:r>
              <w:rPr>
                <w:kern w:val="0"/>
                <w:sz w:val="24"/>
                <w:lang w:val="zh-CN"/>
              </w:rPr>
              <w:t>食堂油烟：食堂采用油烟净化设备（处理效率≥</w:t>
            </w:r>
            <w:r>
              <w:rPr>
                <w:rFonts w:hint="eastAsia"/>
                <w:kern w:val="0"/>
                <w:sz w:val="24"/>
              </w:rPr>
              <w:t>90</w:t>
            </w:r>
            <w:r>
              <w:rPr>
                <w:kern w:val="0"/>
                <w:sz w:val="24"/>
                <w:lang w:val="zh-CN"/>
              </w:rPr>
              <w:t>%）净化处理，处理后油烟排放量为</w:t>
            </w:r>
            <w:r>
              <w:rPr>
                <w:rFonts w:hint="eastAsia"/>
                <w:kern w:val="0"/>
                <w:sz w:val="24"/>
                <w:lang w:val="en-US" w:eastAsia="zh-CN"/>
              </w:rPr>
              <w:t>0.01783kg</w:t>
            </w:r>
            <w:r>
              <w:rPr>
                <w:kern w:val="0"/>
                <w:sz w:val="24"/>
              </w:rPr>
              <w:t>/a，排放</w:t>
            </w:r>
            <w:r>
              <w:rPr>
                <w:kern w:val="0"/>
                <w:sz w:val="24"/>
                <w:lang w:val="zh-CN"/>
              </w:rPr>
              <w:t>浓度为</w:t>
            </w:r>
            <w:r>
              <w:rPr>
                <w:rFonts w:hint="eastAsia"/>
                <w:kern w:val="0"/>
                <w:sz w:val="24"/>
                <w:lang w:val="en-US" w:eastAsia="zh-CN"/>
              </w:rPr>
              <w:t>0.15</w:t>
            </w:r>
            <w:r>
              <w:rPr>
                <w:kern w:val="0"/>
                <w:sz w:val="24"/>
                <w:lang w:val="zh-CN"/>
              </w:rPr>
              <w:t>mg/m</w:t>
            </w:r>
            <w:r>
              <w:rPr>
                <w:kern w:val="0"/>
                <w:sz w:val="24"/>
                <w:vertAlign w:val="superscript"/>
                <w:lang w:val="zh-CN"/>
              </w:rPr>
              <w:t>3</w:t>
            </w:r>
            <w:r>
              <w:rPr>
                <w:kern w:val="0"/>
                <w:sz w:val="24"/>
                <w:lang w:val="zh-CN"/>
              </w:rPr>
              <w:t>，</w:t>
            </w:r>
            <w:r>
              <w:rPr>
                <w:sz w:val="24"/>
              </w:rPr>
              <w:t>排放浓度能够达到《餐饮业油烟污染物排放标准》（DB41/1604-2018）中小型类标准限值要求（油烟最高允许排放浓度为</w:t>
            </w:r>
            <w:r>
              <w:rPr>
                <w:rFonts w:hint="eastAsia"/>
                <w:sz w:val="24"/>
              </w:rPr>
              <w:t>1.5</w:t>
            </w:r>
            <w:r>
              <w:rPr>
                <w:sz w:val="24"/>
              </w:rPr>
              <w:t>mg/m³），不会对周围环境造成不良影响。</w:t>
            </w:r>
          </w:p>
          <w:p>
            <w:pPr>
              <w:spacing w:line="520" w:lineRule="exact"/>
              <w:ind w:firstLine="480"/>
              <w:rPr>
                <w:sz w:val="24"/>
              </w:rPr>
            </w:pPr>
            <w:r>
              <w:rPr>
                <w:sz w:val="24"/>
              </w:rPr>
              <w:t>（2）水环境</w:t>
            </w:r>
          </w:p>
          <w:p>
            <w:pPr>
              <w:spacing w:line="520" w:lineRule="exact"/>
              <w:ind w:firstLine="480" w:firstLineChars="200"/>
              <w:rPr>
                <w:sz w:val="24"/>
              </w:rPr>
            </w:pPr>
            <w:r>
              <w:rPr>
                <w:sz w:val="24"/>
              </w:rPr>
              <w:t>场地、设备冲洗废水：厂区设置沉淀池1座，场地、设备冲洗废水收集后进入沉淀池，经沉淀后作为工艺用水回用于生产，综合利用，不外排。</w:t>
            </w:r>
          </w:p>
          <w:p>
            <w:pPr>
              <w:spacing w:line="520" w:lineRule="exact"/>
              <w:ind w:firstLine="480" w:firstLineChars="200"/>
              <w:rPr>
                <w:sz w:val="24"/>
              </w:rPr>
            </w:pPr>
            <w:r>
              <w:rPr>
                <w:sz w:val="24"/>
              </w:rPr>
              <w:t>车辆冲洗水：厂区进出口设置车辆冲洗装置，并配套沉淀池1座，车辆冲洗水经沉淀池沉淀后回用于车辆冲洗，综合利用，不外排。</w:t>
            </w:r>
          </w:p>
          <w:p>
            <w:pPr>
              <w:spacing w:line="520" w:lineRule="exact"/>
              <w:ind w:firstLine="480" w:firstLineChars="200"/>
              <w:rPr>
                <w:sz w:val="24"/>
              </w:rPr>
            </w:pPr>
            <w:r>
              <w:rPr>
                <w:sz w:val="24"/>
              </w:rPr>
              <w:t>生活污水：生活污水经</w:t>
            </w:r>
            <w:r>
              <w:rPr>
                <w:rFonts w:hint="eastAsia"/>
                <w:sz w:val="24"/>
                <w:lang w:eastAsia="zh-CN"/>
              </w:rPr>
              <w:t>厂区原有</w:t>
            </w:r>
            <w:r>
              <w:rPr>
                <w:sz w:val="24"/>
              </w:rPr>
              <w:t>化粪池处理后定期清理周边农田施肥，综合利用，不外排。</w:t>
            </w:r>
          </w:p>
          <w:p>
            <w:pPr>
              <w:spacing w:line="520" w:lineRule="exact"/>
              <w:ind w:firstLine="482"/>
              <w:rPr>
                <w:sz w:val="24"/>
              </w:rPr>
            </w:pPr>
            <w:r>
              <w:rPr>
                <w:sz w:val="24"/>
              </w:rPr>
              <w:t>（3）噪声</w:t>
            </w:r>
          </w:p>
          <w:p>
            <w:pPr>
              <w:spacing w:line="520" w:lineRule="exact"/>
              <w:ind w:firstLine="480" w:firstLineChars="200"/>
              <w:rPr>
                <w:sz w:val="24"/>
              </w:rPr>
            </w:pPr>
            <w:r>
              <w:rPr>
                <w:sz w:val="24"/>
              </w:rPr>
              <w:t>本项目噪声污染源主要为搅拌机、配料机、成型机、码垛机等，噪声源强为70～90dB（A）。设计上选用低噪声设备，并将噪声源布置在车间内，通过车间隔声、基础减振等措施后，再经距离衰减和厂界围墙隔声后，厂界噪声满足《工业企业厂界环境噪声排放标准》（GB12348-2008）中2类标准，可以实现达标排放，对周围声环境质量影响不大。</w:t>
            </w:r>
          </w:p>
          <w:p>
            <w:pPr>
              <w:spacing w:line="520" w:lineRule="exact"/>
              <w:ind w:firstLine="482"/>
              <w:rPr>
                <w:sz w:val="24"/>
              </w:rPr>
            </w:pPr>
            <w:r>
              <w:rPr>
                <w:sz w:val="24"/>
              </w:rPr>
              <w:t>（4）固体废弃物</w:t>
            </w:r>
          </w:p>
          <w:p>
            <w:pPr>
              <w:spacing w:line="506" w:lineRule="exact"/>
              <w:ind w:firstLine="480" w:firstLineChars="200"/>
              <w:rPr>
                <w:sz w:val="24"/>
              </w:rPr>
            </w:pPr>
            <w:r>
              <w:rPr>
                <w:rFonts w:hint="eastAsia"/>
                <w:sz w:val="24"/>
                <w:lang w:eastAsia="zh-CN"/>
              </w:rPr>
              <w:t>除尘器收集颗粒物</w:t>
            </w:r>
            <w:r>
              <w:rPr>
                <w:sz w:val="24"/>
              </w:rPr>
              <w:t>：该部分固废收集后可作为生产原料回用于生产，综合利用，不外排。</w:t>
            </w:r>
          </w:p>
          <w:p>
            <w:pPr>
              <w:spacing w:line="506" w:lineRule="exact"/>
              <w:ind w:firstLine="480" w:firstLineChars="200"/>
              <w:rPr>
                <w:sz w:val="24"/>
              </w:rPr>
            </w:pPr>
            <w:r>
              <w:rPr>
                <w:sz w:val="24"/>
              </w:rPr>
              <w:t>不合格湿坯：来源于生产过程，厂区收集后可作为生产原料投入搅拌机，回用于生产，综合利用，不外排。</w:t>
            </w:r>
          </w:p>
          <w:p>
            <w:pPr>
              <w:spacing w:line="506" w:lineRule="exact"/>
              <w:ind w:firstLine="480" w:firstLineChars="200"/>
              <w:rPr>
                <w:sz w:val="24"/>
              </w:rPr>
            </w:pPr>
            <w:r>
              <w:rPr>
                <w:sz w:val="24"/>
              </w:rPr>
              <w:t>不合格干坯：来源于养护过程，厂区收集后</w:t>
            </w:r>
            <w:r>
              <w:rPr>
                <w:rFonts w:hint="eastAsia"/>
                <w:sz w:val="24"/>
              </w:rPr>
              <w:t>外</w:t>
            </w:r>
            <w:r>
              <w:rPr>
                <w:sz w:val="24"/>
              </w:rPr>
              <w:t>售，综合利用，不外排。</w:t>
            </w:r>
          </w:p>
          <w:p>
            <w:pPr>
              <w:spacing w:line="506" w:lineRule="exact"/>
              <w:ind w:firstLine="480" w:firstLineChars="200"/>
              <w:rPr>
                <w:sz w:val="24"/>
              </w:rPr>
            </w:pPr>
            <w:r>
              <w:rPr>
                <w:sz w:val="24"/>
              </w:rPr>
              <w:t>沉淀池沉渣：该部分固废收集后可作为生产原料回用于生产，综合利用，不外排。</w:t>
            </w:r>
          </w:p>
          <w:p>
            <w:pPr>
              <w:spacing w:line="520" w:lineRule="exact"/>
              <w:ind w:firstLine="482"/>
              <w:rPr>
                <w:sz w:val="24"/>
              </w:rPr>
            </w:pPr>
            <w:r>
              <w:rPr>
                <w:sz w:val="24"/>
              </w:rPr>
              <w:t>生活垃圾：厂区集中收集后，定期送当地生活垃圾中转站，最终进入鲁山县城市生活垃圾填埋场进行卫生填埋，对周围环境影响不大。</w:t>
            </w:r>
          </w:p>
          <w:p>
            <w:pPr>
              <w:spacing w:line="520" w:lineRule="exact"/>
              <w:ind w:firstLine="480" w:firstLineChars="200"/>
              <w:rPr>
                <w:rFonts w:eastAsia="黑体"/>
                <w:sz w:val="24"/>
              </w:rPr>
            </w:pPr>
            <w:r>
              <w:rPr>
                <w:rFonts w:eastAsia="黑体"/>
                <w:sz w:val="24"/>
              </w:rPr>
              <w:t>2.4 选址可行性分析</w:t>
            </w:r>
          </w:p>
          <w:p>
            <w:pPr>
              <w:adjustRightInd w:val="0"/>
              <w:snapToGrid w:val="0"/>
              <w:spacing w:line="520" w:lineRule="exact"/>
              <w:ind w:firstLine="480" w:firstLineChars="200"/>
              <w:rPr>
                <w:bCs/>
                <w:sz w:val="24"/>
              </w:rPr>
            </w:pPr>
            <w:r>
              <w:rPr>
                <w:bCs/>
                <w:sz w:val="24"/>
              </w:rPr>
              <w:t>项目位于</w:t>
            </w:r>
            <w:r>
              <w:rPr>
                <w:rFonts w:hint="eastAsia"/>
                <w:bCs/>
                <w:sz w:val="24"/>
              </w:rPr>
              <w:t>平顶山市鲁山县张良镇工业园区西南角</w:t>
            </w:r>
            <w:r>
              <w:rPr>
                <w:bCs/>
                <w:sz w:val="24"/>
              </w:rPr>
              <w:t>，占地</w:t>
            </w:r>
            <w:r>
              <w:rPr>
                <w:rFonts w:hint="eastAsia"/>
                <w:sz w:val="24"/>
              </w:rPr>
              <w:t>66</w:t>
            </w:r>
            <w:r>
              <w:rPr>
                <w:sz w:val="24"/>
              </w:rPr>
              <w:t>00</w:t>
            </w:r>
            <w:r>
              <w:rPr>
                <w:bCs/>
                <w:sz w:val="24"/>
              </w:rPr>
              <w:t>m</w:t>
            </w:r>
            <w:r>
              <w:rPr>
                <w:bCs/>
                <w:sz w:val="24"/>
                <w:vertAlign w:val="superscript"/>
              </w:rPr>
              <w:t>2</w:t>
            </w:r>
            <w:r>
              <w:rPr>
                <w:bCs/>
                <w:sz w:val="24"/>
              </w:rPr>
              <w:t>。</w:t>
            </w:r>
          </w:p>
          <w:p>
            <w:pPr>
              <w:numPr>
                <w:ilvl w:val="0"/>
                <w:numId w:val="12"/>
              </w:numPr>
              <w:adjustRightInd w:val="0"/>
              <w:snapToGrid w:val="0"/>
              <w:spacing w:line="520" w:lineRule="exact"/>
              <w:ind w:firstLine="480" w:firstLineChars="200"/>
              <w:rPr>
                <w:sz w:val="24"/>
              </w:rPr>
            </w:pPr>
            <w:r>
              <w:rPr>
                <w:rFonts w:hint="eastAsia"/>
                <w:color w:val="000000"/>
                <w:sz w:val="24"/>
              </w:rPr>
              <w:t>根据鲁山县张良镇国土规划环保办公室出具的证明，项目</w:t>
            </w:r>
            <w:r>
              <w:rPr>
                <w:color w:val="000000"/>
                <w:sz w:val="24"/>
              </w:rPr>
              <w:t>用地性质为工业用地</w:t>
            </w:r>
            <w:r>
              <w:rPr>
                <w:rFonts w:hint="eastAsia"/>
                <w:color w:val="000000"/>
                <w:sz w:val="24"/>
              </w:rPr>
              <w:t>，符合鲁山县张良镇总体规划</w:t>
            </w:r>
            <w:r>
              <w:rPr>
                <w:sz w:val="24"/>
              </w:rPr>
              <w:t>。根据张良镇总体规划（2014-2030）用地规划图，本项目地块用地性质为</w:t>
            </w:r>
            <w:r>
              <w:rPr>
                <w:rFonts w:hint="eastAsia"/>
                <w:sz w:val="24"/>
              </w:rPr>
              <w:t>工业</w:t>
            </w:r>
            <w:r>
              <w:rPr>
                <w:sz w:val="24"/>
              </w:rPr>
              <w:t>用地，符合张良镇总体规划</w:t>
            </w:r>
            <w:r>
              <w:rPr>
                <w:rFonts w:hint="eastAsia"/>
                <w:sz w:val="24"/>
              </w:rPr>
              <w:t>。</w:t>
            </w:r>
          </w:p>
          <w:p>
            <w:pPr>
              <w:adjustRightInd w:val="0"/>
              <w:snapToGrid w:val="0"/>
              <w:spacing w:line="520" w:lineRule="exact"/>
              <w:ind w:firstLine="480" w:firstLineChars="200"/>
              <w:rPr>
                <w:bCs/>
                <w:sz w:val="24"/>
              </w:rPr>
            </w:pPr>
            <w:r>
              <w:rPr>
                <w:rFonts w:hint="eastAsia"/>
                <w:sz w:val="24"/>
              </w:rPr>
              <w:t>（2）</w:t>
            </w:r>
            <w:r>
              <w:rPr>
                <w:bCs/>
                <w:color w:val="auto"/>
                <w:sz w:val="24"/>
              </w:rPr>
              <w:t>项目</w:t>
            </w:r>
            <w:r>
              <w:rPr>
                <w:color w:val="auto"/>
                <w:sz w:val="24"/>
              </w:rPr>
              <w:t>在昭平台水库的下游区域，不在昭平台水库地表水饮用水源一、二级保护区及准保护区范围内，</w:t>
            </w:r>
            <w:r>
              <w:rPr>
                <w:rFonts w:hint="eastAsia"/>
                <w:color w:val="auto"/>
                <w:sz w:val="24"/>
                <w:lang w:val="en-US" w:eastAsia="zh-CN"/>
              </w:rPr>
              <w:t>项目位于白龟山</w:t>
            </w:r>
            <w:r>
              <w:rPr>
                <w:color w:val="auto"/>
                <w:sz w:val="24"/>
              </w:rPr>
              <w:t>水库地表水饮用水源</w:t>
            </w:r>
            <w:r>
              <w:rPr>
                <w:rFonts w:hint="eastAsia"/>
                <w:color w:val="auto"/>
                <w:sz w:val="24"/>
                <w:lang w:val="en-US" w:eastAsia="zh-CN"/>
              </w:rPr>
              <w:t>准保护区内，无外排废水，对</w:t>
            </w:r>
            <w:r>
              <w:rPr>
                <w:color w:val="auto"/>
                <w:sz w:val="24"/>
              </w:rPr>
              <w:t>当地饮用水源</w:t>
            </w:r>
            <w:r>
              <w:rPr>
                <w:rFonts w:hint="eastAsia"/>
                <w:color w:val="auto"/>
                <w:sz w:val="24"/>
                <w:lang w:val="en-US" w:eastAsia="zh-CN"/>
              </w:rPr>
              <w:t>影响较小</w:t>
            </w:r>
            <w:r>
              <w:rPr>
                <w:color w:val="auto"/>
                <w:sz w:val="24"/>
              </w:rPr>
              <w:t>。</w:t>
            </w:r>
            <w:r>
              <w:rPr>
                <w:sz w:val="24"/>
              </w:rPr>
              <w:t>根据沙河饮用水源保护区划分示意图，项目不在其饮用水源保护区范围内</w:t>
            </w:r>
            <w:r>
              <w:rPr>
                <w:bCs/>
                <w:sz w:val="24"/>
              </w:rPr>
              <w:t>。</w:t>
            </w:r>
          </w:p>
          <w:p>
            <w:pPr>
              <w:spacing w:line="520" w:lineRule="exact"/>
              <w:ind w:firstLine="480" w:firstLineChars="200"/>
              <w:rPr>
                <w:sz w:val="24"/>
              </w:rPr>
            </w:pPr>
            <w:r>
              <w:rPr>
                <w:rFonts w:hint="eastAsia"/>
                <w:sz w:val="24"/>
              </w:rPr>
              <w:t>（3）</w:t>
            </w:r>
            <w:r>
              <w:rPr>
                <w:sz w:val="24"/>
              </w:rPr>
              <w:t>项目周边1000m范围内无列入《国家重点保护野生植物名录》和《国家重点保护野生动物名录》的动植物，周围最近500m范围内无发现的文物古迹。</w:t>
            </w:r>
          </w:p>
          <w:p>
            <w:pPr>
              <w:adjustRightInd w:val="0"/>
              <w:snapToGrid w:val="0"/>
              <w:spacing w:line="520" w:lineRule="exact"/>
              <w:ind w:firstLine="480" w:firstLineChars="200"/>
              <w:rPr>
                <w:bCs/>
                <w:sz w:val="24"/>
              </w:rPr>
            </w:pPr>
            <w:r>
              <w:rPr>
                <w:bCs/>
                <w:sz w:val="24"/>
              </w:rPr>
              <w:t>（4）项目厂址处交通便利，水电供应充足，厂区平面布置基本合理。</w:t>
            </w:r>
          </w:p>
          <w:p>
            <w:pPr>
              <w:adjustRightInd w:val="0"/>
              <w:snapToGrid w:val="0"/>
              <w:spacing w:line="520" w:lineRule="exact"/>
              <w:ind w:firstLine="480" w:firstLineChars="200"/>
              <w:rPr>
                <w:bCs/>
                <w:sz w:val="24"/>
              </w:rPr>
            </w:pPr>
            <w:r>
              <w:rPr>
                <w:bCs/>
                <w:sz w:val="24"/>
              </w:rPr>
              <w:t>（5）在采取评价要求和建议的防治措施后，各污染物均达标排放或综合利用，对区域环境影响不大，区域环境仍可保持现有功能水平。</w:t>
            </w:r>
          </w:p>
          <w:p>
            <w:pPr>
              <w:adjustRightInd w:val="0"/>
              <w:snapToGrid w:val="0"/>
              <w:spacing w:line="520" w:lineRule="exact"/>
              <w:ind w:firstLine="480" w:firstLineChars="200"/>
              <w:rPr>
                <w:bCs/>
                <w:sz w:val="24"/>
              </w:rPr>
            </w:pPr>
            <w:r>
              <w:rPr>
                <w:bCs/>
                <w:sz w:val="24"/>
              </w:rPr>
              <w:t>综上，从项目建设和环保角度来看，项目厂址可行。</w:t>
            </w:r>
          </w:p>
          <w:p>
            <w:pPr>
              <w:spacing w:line="520" w:lineRule="exact"/>
              <w:ind w:firstLine="480" w:firstLineChars="200"/>
              <w:rPr>
                <w:rFonts w:eastAsia="黑体"/>
                <w:sz w:val="24"/>
              </w:rPr>
            </w:pPr>
            <w:r>
              <w:rPr>
                <w:rFonts w:eastAsia="黑体"/>
                <w:sz w:val="24"/>
              </w:rPr>
              <w:t>2.5 总量建议</w:t>
            </w:r>
          </w:p>
          <w:p>
            <w:pPr>
              <w:spacing w:line="520" w:lineRule="exact"/>
              <w:ind w:firstLine="436" w:firstLineChars="182"/>
              <w:rPr>
                <w:sz w:val="24"/>
              </w:rPr>
            </w:pPr>
            <w:r>
              <w:rPr>
                <w:sz w:val="24"/>
              </w:rPr>
              <w:t>根据项目排污特点，</w:t>
            </w:r>
            <w:r>
              <w:rPr>
                <w:bCs/>
                <w:sz w:val="24"/>
              </w:rPr>
              <w:t>项目运营期无当前国家规划中总量控制的污染物SO</w:t>
            </w:r>
            <w:r>
              <w:rPr>
                <w:bCs/>
                <w:sz w:val="24"/>
                <w:vertAlign w:val="subscript"/>
              </w:rPr>
              <w:t>2</w:t>
            </w:r>
            <w:r>
              <w:rPr>
                <w:bCs/>
                <w:sz w:val="24"/>
              </w:rPr>
              <w:t>、NOx、COD、NH</w:t>
            </w:r>
            <w:r>
              <w:rPr>
                <w:bCs/>
                <w:sz w:val="24"/>
                <w:vertAlign w:val="subscript"/>
              </w:rPr>
              <w:t>3</w:t>
            </w:r>
            <w:r>
              <w:rPr>
                <w:bCs/>
                <w:sz w:val="24"/>
              </w:rPr>
              <w:t>-N的排放，因此，本项目暂不设总量控制指标。</w:t>
            </w:r>
          </w:p>
          <w:p>
            <w:pPr>
              <w:spacing w:line="520" w:lineRule="exact"/>
              <w:ind w:firstLine="480" w:firstLineChars="200"/>
              <w:rPr>
                <w:rFonts w:eastAsia="黑体"/>
                <w:sz w:val="24"/>
              </w:rPr>
            </w:pPr>
            <w:r>
              <w:rPr>
                <w:rFonts w:eastAsia="黑体"/>
                <w:sz w:val="24"/>
              </w:rPr>
              <w:t>三、建议</w:t>
            </w:r>
          </w:p>
          <w:p>
            <w:pPr>
              <w:spacing w:line="520" w:lineRule="exact"/>
              <w:ind w:firstLine="482"/>
              <w:rPr>
                <w:sz w:val="24"/>
              </w:rPr>
            </w:pPr>
            <w:r>
              <w:rPr>
                <w:sz w:val="24"/>
              </w:rPr>
              <w:t>（1）项目施工期间，加强施工管理，合理安排施工时间，避免施工扬尘和施工噪声对周围环境造成大的影响。</w:t>
            </w:r>
          </w:p>
          <w:p>
            <w:pPr>
              <w:spacing w:line="520" w:lineRule="exact"/>
              <w:ind w:firstLine="482"/>
              <w:rPr>
                <w:sz w:val="24"/>
              </w:rPr>
            </w:pPr>
            <w:r>
              <w:rPr>
                <w:sz w:val="24"/>
              </w:rPr>
              <w:t>（2）项目建设过程中严格遵守“三同时”制度，建设项目中的环境保护设施必须与主体工程同时设计，同时施工，同时投产使用。</w:t>
            </w:r>
          </w:p>
          <w:p>
            <w:pPr>
              <w:spacing w:line="520" w:lineRule="exact"/>
              <w:ind w:firstLine="482"/>
              <w:rPr>
                <w:sz w:val="24"/>
              </w:rPr>
            </w:pPr>
            <w:r>
              <w:rPr>
                <w:sz w:val="24"/>
              </w:rPr>
              <w:t>（3）厂区设置水泥罐</w:t>
            </w:r>
            <w:r>
              <w:rPr>
                <w:rFonts w:hint="eastAsia"/>
                <w:sz w:val="24"/>
                <w:lang w:eastAsia="zh-CN"/>
              </w:rPr>
              <w:t>、粉煤灰罐</w:t>
            </w:r>
            <w:r>
              <w:rPr>
                <w:sz w:val="24"/>
              </w:rPr>
              <w:t>和原料仓库，禁止原料露天堆放，原料的装卸、暂存均在密闭厂房内进行。</w:t>
            </w:r>
          </w:p>
          <w:p>
            <w:pPr>
              <w:spacing w:line="520" w:lineRule="exact"/>
              <w:ind w:firstLine="482"/>
              <w:rPr>
                <w:sz w:val="24"/>
              </w:rPr>
            </w:pPr>
            <w:r>
              <w:rPr>
                <w:sz w:val="24"/>
              </w:rPr>
              <w:t>（4）原料仓库内设置自动</w:t>
            </w:r>
            <w:r>
              <w:rPr>
                <w:rFonts w:hint="eastAsia"/>
                <w:sz w:val="24"/>
                <w:lang w:eastAsia="zh-CN"/>
              </w:rPr>
              <w:t>喷干雾</w:t>
            </w:r>
            <w:r>
              <w:rPr>
                <w:sz w:val="24"/>
              </w:rPr>
              <w:t>装置，定时洒水，保持骨料表面湿润，减小其转运和装卸过程起尘量。</w:t>
            </w:r>
          </w:p>
          <w:p>
            <w:pPr>
              <w:spacing w:line="520" w:lineRule="exact"/>
              <w:ind w:firstLine="482"/>
              <w:rPr>
                <w:sz w:val="24"/>
              </w:rPr>
            </w:pPr>
            <w:r>
              <w:rPr>
                <w:sz w:val="24"/>
              </w:rPr>
              <w:t>（5）对设备、地面冲洗废水以及车辆冲洗废水进行收集，并进行资源化利用，减小对周围地表水环境的影响。</w:t>
            </w:r>
          </w:p>
          <w:p>
            <w:pPr>
              <w:spacing w:line="520" w:lineRule="exact"/>
              <w:ind w:firstLine="482"/>
              <w:rPr>
                <w:sz w:val="24"/>
              </w:rPr>
            </w:pPr>
            <w:r>
              <w:rPr>
                <w:sz w:val="24"/>
              </w:rPr>
              <w:t>（6）加强环保设施的管理，配备必要的管理、维修人员，建立健全相关规章制度，并认真加以执行，确保各类污染物达标排放。</w:t>
            </w:r>
          </w:p>
          <w:p>
            <w:pPr>
              <w:spacing w:line="520" w:lineRule="exact"/>
              <w:ind w:firstLine="480" w:firstLineChars="200"/>
              <w:rPr>
                <w:sz w:val="24"/>
              </w:rPr>
            </w:pPr>
            <w:r>
              <w:rPr>
                <w:sz w:val="24"/>
              </w:rPr>
              <w:t>（7）设备选型选用质量好低噪声设备，工艺设备布置尽量减少物料落差，以减少物料冲击噪声。噪声值较大的振动设备，需加设减振装置及隔音设施，以减轻对周围环境的影响，并加强设备日常维护保养，定期检修，保证各项设备正常有效运行。</w:t>
            </w:r>
          </w:p>
          <w:p>
            <w:pPr>
              <w:spacing w:line="520" w:lineRule="exact"/>
              <w:ind w:firstLine="480" w:firstLineChars="200"/>
              <w:rPr>
                <w:sz w:val="24"/>
              </w:rPr>
            </w:pPr>
            <w:r>
              <w:rPr>
                <w:sz w:val="24"/>
              </w:rPr>
              <w:t>（8）执行国家建设项目环境管理的有关规定，做好环保设施管理和维修监督工作，建立并管理好环保设施的档案，保证环保设施按照设计要求运行，杜绝擅自拆除和闲置环保设施的现象发生。</w:t>
            </w:r>
          </w:p>
          <w:p>
            <w:pPr>
              <w:spacing w:line="520" w:lineRule="exact"/>
              <w:ind w:firstLine="480" w:firstLineChars="200"/>
              <w:rPr>
                <w:sz w:val="24"/>
              </w:rPr>
            </w:pPr>
            <w:r>
              <w:rPr>
                <w:sz w:val="24"/>
              </w:rPr>
              <w:t>（9）本项目暂不设总量控制指标。</w:t>
            </w:r>
          </w:p>
          <w:p>
            <w:pPr>
              <w:spacing w:line="520" w:lineRule="exact"/>
              <w:ind w:firstLine="480" w:firstLineChars="200"/>
              <w:rPr>
                <w:rFonts w:eastAsia="黑体"/>
                <w:sz w:val="24"/>
              </w:rPr>
            </w:pPr>
            <w:r>
              <w:rPr>
                <w:rFonts w:eastAsia="黑体"/>
                <w:sz w:val="24"/>
              </w:rPr>
              <w:t>四、评价总结论</w:t>
            </w:r>
          </w:p>
          <w:p>
            <w:pPr>
              <w:spacing w:line="520" w:lineRule="exact"/>
              <w:ind w:firstLine="480" w:firstLineChars="200"/>
              <w:rPr>
                <w:rFonts w:eastAsia="黑体"/>
                <w:sz w:val="24"/>
              </w:rPr>
            </w:pPr>
            <w:r>
              <w:rPr>
                <w:rFonts w:eastAsia="黑体"/>
                <w:sz w:val="24"/>
              </w:rPr>
              <w:t>综上所述，</w:t>
            </w:r>
            <w:r>
              <w:rPr>
                <w:rFonts w:hint="eastAsia" w:eastAsia="黑体"/>
                <w:sz w:val="24"/>
              </w:rPr>
              <w:t>平顶山市定坤水泥制品有限公司生产，加工水泥制品项目</w:t>
            </w:r>
            <w:r>
              <w:rPr>
                <w:rFonts w:eastAsia="黑体"/>
                <w:sz w:val="24"/>
              </w:rPr>
              <w:t>选址位于</w:t>
            </w:r>
            <w:r>
              <w:rPr>
                <w:rFonts w:hint="eastAsia" w:eastAsia="黑体"/>
                <w:sz w:val="24"/>
              </w:rPr>
              <w:t>平顶山市鲁山县张良镇工业园区西南角</w:t>
            </w:r>
            <w:r>
              <w:rPr>
                <w:rFonts w:eastAsia="黑体"/>
                <w:sz w:val="24"/>
              </w:rPr>
              <w:t>，用地符合鲁山县土地利用总体规划，并已通过鲁山县发展和改革委员会备案，符合国家当前产业政策。建设单位应当在执行“三同时”原则的基础上，严格执行国家的环保法律法规，在项目充分落实评价提出的各项污染防治措施和建议的基础上，项目产生的污染物均能达标排放或合理处置，满足环保要求，对区域环境质量影响较小。从环保角度分析，本项目的建设可行。</w:t>
            </w:r>
          </w:p>
          <w:p>
            <w:pPr>
              <w:spacing w:line="520" w:lineRule="exact"/>
              <w:ind w:left="-4" w:leftChars="-2" w:firstLine="480" w:firstLineChars="200"/>
              <w:rPr>
                <w:sz w:val="24"/>
              </w:rPr>
            </w:pPr>
          </w:p>
          <w:p>
            <w:pPr>
              <w:spacing w:line="520" w:lineRule="exact"/>
              <w:rPr>
                <w:sz w:val="24"/>
              </w:rPr>
            </w:pPr>
          </w:p>
        </w:tc>
      </w:tr>
    </w:tbl>
    <w:p>
      <w:pPr>
        <w:spacing w:line="20" w:lineRule="exact"/>
      </w:pPr>
    </w:p>
    <w:p>
      <w:pPr>
        <w:spacing w:line="20" w:lineRule="exact"/>
        <w:rPr>
          <w:sz w:val="30"/>
          <w:szCs w:val="30"/>
        </w:rPr>
      </w:pPr>
    </w:p>
    <w:sectPr>
      <w:pgSz w:w="11906" w:h="16838"/>
      <w:pgMar w:top="1501" w:right="1588" w:bottom="173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6"/>
      </w:rPr>
    </w:pPr>
    <w:r>
      <w:fldChar w:fldCharType="begin"/>
    </w:r>
    <w:r>
      <w:rPr>
        <w:rStyle w:val="36"/>
      </w:rPr>
      <w:instrText xml:space="preserve">PAGE  </w:instrText>
    </w:r>
    <w:r>
      <w:fldChar w:fldCharType="end"/>
    </w:r>
  </w:p>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6"/>
        <w:rFonts w:ascii="宋体" w:hAnsi="宋体"/>
        <w:sz w:val="21"/>
        <w:szCs w:val="21"/>
      </w:rPr>
    </w:pPr>
    <w:r>
      <w:rPr>
        <w:rFonts w:ascii="宋体" w:hAnsi="宋体"/>
        <w:sz w:val="21"/>
        <w:szCs w:val="21"/>
      </w:rPr>
      <w:fldChar w:fldCharType="begin"/>
    </w:r>
    <w:r>
      <w:rPr>
        <w:rStyle w:val="36"/>
        <w:rFonts w:ascii="宋体" w:hAnsi="宋体"/>
        <w:sz w:val="21"/>
        <w:szCs w:val="21"/>
      </w:rPr>
      <w:instrText xml:space="preserve">PAGE  </w:instrText>
    </w:r>
    <w:r>
      <w:rPr>
        <w:rFonts w:ascii="宋体" w:hAnsi="宋体"/>
        <w:sz w:val="21"/>
        <w:szCs w:val="21"/>
      </w:rPr>
      <w:fldChar w:fldCharType="separate"/>
    </w:r>
    <w:r>
      <w:rPr>
        <w:rStyle w:val="36"/>
        <w:rFonts w:ascii="宋体" w:hAnsi="宋体"/>
        <w:sz w:val="21"/>
        <w:szCs w:val="21"/>
      </w:rPr>
      <w:t>58</w:t>
    </w:r>
    <w:r>
      <w:rPr>
        <w:rFonts w:ascii="宋体" w:hAnsi="宋体"/>
        <w:sz w:val="21"/>
        <w:szCs w:val="21"/>
      </w:rPr>
      <w:fldChar w:fldCharType="end"/>
    </w:r>
  </w:p>
  <w:p>
    <w:pPr>
      <w:pStyle w:val="23"/>
      <w:tabs>
        <w:tab w:val="clear" w:pos="4153"/>
      </w:tabs>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1B8EFC"/>
    <w:multiLevelType w:val="singleLevel"/>
    <w:tmpl w:val="AA1B8EFC"/>
    <w:lvl w:ilvl="0" w:tentative="0">
      <w:start w:val="1"/>
      <w:numFmt w:val="decimal"/>
      <w:suff w:val="nothing"/>
      <w:lvlText w:val="（%1）"/>
      <w:lvlJc w:val="left"/>
    </w:lvl>
  </w:abstractNum>
  <w:abstractNum w:abstractNumId="1">
    <w:nsid w:val="F7401716"/>
    <w:multiLevelType w:val="singleLevel"/>
    <w:tmpl w:val="F7401716"/>
    <w:lvl w:ilvl="0" w:tentative="0">
      <w:start w:val="1"/>
      <w:numFmt w:val="decimal"/>
      <w:suff w:val="nothing"/>
      <w:lvlText w:val="（%1）"/>
      <w:lvlJc w:val="left"/>
    </w:lvl>
  </w:abstractNum>
  <w:abstractNum w:abstractNumId="2">
    <w:nsid w:val="33201667"/>
    <w:multiLevelType w:val="multilevel"/>
    <w:tmpl w:val="33201667"/>
    <w:lvl w:ilvl="0" w:tentative="0">
      <w:start w:val="1"/>
      <w:numFmt w:val="decimal"/>
      <w:lvlText w:val="（%1）"/>
      <w:lvlJc w:val="left"/>
      <w:pPr>
        <w:tabs>
          <w:tab w:val="left" w:pos="1202"/>
        </w:tabs>
        <w:ind w:left="1202" w:hanging="720"/>
      </w:pPr>
      <w:rPr>
        <w:rFonts w:hint="default"/>
      </w:rPr>
    </w:lvl>
    <w:lvl w:ilvl="1" w:tentative="0">
      <w:start w:val="1"/>
      <w:numFmt w:val="lowerLetter"/>
      <w:pStyle w:val="4"/>
      <w:lvlText w:val="%2)"/>
      <w:lvlJc w:val="left"/>
      <w:pPr>
        <w:tabs>
          <w:tab w:val="left" w:pos="1322"/>
        </w:tabs>
        <w:ind w:left="1322" w:hanging="420"/>
      </w:pPr>
    </w:lvl>
    <w:lvl w:ilvl="2" w:tentative="0">
      <w:start w:val="1"/>
      <w:numFmt w:val="lowerRoman"/>
      <w:pStyle w:val="5"/>
      <w:lvlText w:val="%3."/>
      <w:lvlJc w:val="right"/>
      <w:pPr>
        <w:tabs>
          <w:tab w:val="left" w:pos="1742"/>
        </w:tabs>
        <w:ind w:left="1742" w:hanging="420"/>
      </w:pPr>
    </w:lvl>
    <w:lvl w:ilvl="3" w:tentative="0">
      <w:start w:val="1"/>
      <w:numFmt w:val="decimal"/>
      <w:pStyle w:val="6"/>
      <w:lvlText w:val="%4."/>
      <w:lvlJc w:val="left"/>
      <w:pPr>
        <w:tabs>
          <w:tab w:val="left" w:pos="2162"/>
        </w:tabs>
        <w:ind w:left="2162" w:hanging="420"/>
      </w:pPr>
    </w:lvl>
    <w:lvl w:ilvl="4" w:tentative="0">
      <w:start w:val="1"/>
      <w:numFmt w:val="lowerLetter"/>
      <w:pStyle w:val="7"/>
      <w:lvlText w:val="%5)"/>
      <w:lvlJc w:val="left"/>
      <w:pPr>
        <w:tabs>
          <w:tab w:val="left" w:pos="2582"/>
        </w:tabs>
        <w:ind w:left="2582" w:hanging="420"/>
      </w:pPr>
    </w:lvl>
    <w:lvl w:ilvl="5" w:tentative="0">
      <w:start w:val="1"/>
      <w:numFmt w:val="lowerRoman"/>
      <w:pStyle w:val="8"/>
      <w:lvlText w:val="%6."/>
      <w:lvlJc w:val="right"/>
      <w:pPr>
        <w:tabs>
          <w:tab w:val="left" w:pos="3002"/>
        </w:tabs>
        <w:ind w:left="3002" w:hanging="420"/>
      </w:pPr>
    </w:lvl>
    <w:lvl w:ilvl="6" w:tentative="0">
      <w:start w:val="1"/>
      <w:numFmt w:val="decimal"/>
      <w:pStyle w:val="9"/>
      <w:lvlText w:val="%7."/>
      <w:lvlJc w:val="left"/>
      <w:pPr>
        <w:tabs>
          <w:tab w:val="left" w:pos="3422"/>
        </w:tabs>
        <w:ind w:left="3422" w:hanging="420"/>
      </w:pPr>
    </w:lvl>
    <w:lvl w:ilvl="7" w:tentative="0">
      <w:start w:val="1"/>
      <w:numFmt w:val="lowerLetter"/>
      <w:pStyle w:val="10"/>
      <w:lvlText w:val="%8)"/>
      <w:lvlJc w:val="left"/>
      <w:pPr>
        <w:tabs>
          <w:tab w:val="left" w:pos="3842"/>
        </w:tabs>
        <w:ind w:left="3842" w:hanging="420"/>
      </w:pPr>
    </w:lvl>
    <w:lvl w:ilvl="8" w:tentative="0">
      <w:start w:val="1"/>
      <w:numFmt w:val="lowerRoman"/>
      <w:pStyle w:val="11"/>
      <w:lvlText w:val="%9."/>
      <w:lvlJc w:val="right"/>
      <w:pPr>
        <w:tabs>
          <w:tab w:val="left" w:pos="4262"/>
        </w:tabs>
        <w:ind w:left="4262" w:hanging="420"/>
      </w:pPr>
    </w:lvl>
  </w:abstractNum>
  <w:abstractNum w:abstractNumId="3">
    <w:nsid w:val="5A44AB72"/>
    <w:multiLevelType w:val="singleLevel"/>
    <w:tmpl w:val="5A44AB72"/>
    <w:lvl w:ilvl="0" w:tentative="0">
      <w:start w:val="2"/>
      <w:numFmt w:val="decimal"/>
      <w:suff w:val="nothing"/>
      <w:lvlText w:val="%1、"/>
      <w:lvlJc w:val="left"/>
    </w:lvl>
  </w:abstractNum>
  <w:abstractNum w:abstractNumId="4">
    <w:nsid w:val="5A4C98C1"/>
    <w:multiLevelType w:val="singleLevel"/>
    <w:tmpl w:val="5A4C98C1"/>
    <w:lvl w:ilvl="0" w:tentative="0">
      <w:start w:val="2"/>
      <w:numFmt w:val="decimal"/>
      <w:suff w:val="nothing"/>
      <w:lvlText w:val="%1）"/>
      <w:lvlJc w:val="left"/>
    </w:lvl>
  </w:abstractNum>
  <w:abstractNum w:abstractNumId="5">
    <w:nsid w:val="5A4D77E6"/>
    <w:multiLevelType w:val="singleLevel"/>
    <w:tmpl w:val="5A4D77E6"/>
    <w:lvl w:ilvl="0" w:tentative="0">
      <w:start w:val="1"/>
      <w:numFmt w:val="decimal"/>
      <w:suff w:val="nothing"/>
      <w:lvlText w:val="（%1）"/>
      <w:lvlJc w:val="left"/>
    </w:lvl>
  </w:abstractNum>
  <w:abstractNum w:abstractNumId="6">
    <w:nsid w:val="5B4EF9D1"/>
    <w:multiLevelType w:val="singleLevel"/>
    <w:tmpl w:val="5B4EF9D1"/>
    <w:lvl w:ilvl="0" w:tentative="0">
      <w:start w:val="1"/>
      <w:numFmt w:val="chineseCounting"/>
      <w:suff w:val="nothing"/>
      <w:lvlText w:val="（%1）"/>
      <w:lvlJc w:val="left"/>
    </w:lvl>
  </w:abstractNum>
  <w:abstractNum w:abstractNumId="7">
    <w:nsid w:val="5B4EFA58"/>
    <w:multiLevelType w:val="singleLevel"/>
    <w:tmpl w:val="5B4EFA58"/>
    <w:lvl w:ilvl="0" w:tentative="0">
      <w:start w:val="2"/>
      <w:numFmt w:val="chineseCounting"/>
      <w:suff w:val="nothing"/>
      <w:lvlText w:val="（%1）"/>
      <w:lvlJc w:val="left"/>
    </w:lvl>
  </w:abstractNum>
  <w:abstractNum w:abstractNumId="8">
    <w:nsid w:val="5B4EFAC3"/>
    <w:multiLevelType w:val="singleLevel"/>
    <w:tmpl w:val="5B4EFAC3"/>
    <w:lvl w:ilvl="0" w:tentative="0">
      <w:start w:val="1"/>
      <w:numFmt w:val="decimal"/>
      <w:suff w:val="nothing"/>
      <w:lvlText w:val="%1、"/>
      <w:lvlJc w:val="left"/>
    </w:lvl>
  </w:abstractNum>
  <w:abstractNum w:abstractNumId="9">
    <w:nsid w:val="5B4EFB9D"/>
    <w:multiLevelType w:val="singleLevel"/>
    <w:tmpl w:val="5B4EFB9D"/>
    <w:lvl w:ilvl="0" w:tentative="0">
      <w:start w:val="2"/>
      <w:numFmt w:val="decimal"/>
      <w:suff w:val="nothing"/>
      <w:lvlText w:val="%1、"/>
      <w:lvlJc w:val="left"/>
    </w:lvl>
  </w:abstractNum>
  <w:abstractNum w:abstractNumId="10">
    <w:nsid w:val="5B4EFC8F"/>
    <w:multiLevelType w:val="singleLevel"/>
    <w:tmpl w:val="5B4EFC8F"/>
    <w:lvl w:ilvl="0" w:tentative="0">
      <w:start w:val="2"/>
      <w:numFmt w:val="decimal"/>
      <w:suff w:val="nothing"/>
      <w:lvlText w:val="（%1）"/>
      <w:lvlJc w:val="left"/>
    </w:lvl>
  </w:abstractNum>
  <w:abstractNum w:abstractNumId="11">
    <w:nsid w:val="5B4EFD03"/>
    <w:multiLevelType w:val="singleLevel"/>
    <w:tmpl w:val="5B4EFD03"/>
    <w:lvl w:ilvl="0" w:tentative="0">
      <w:start w:val="3"/>
      <w:numFmt w:val="decimal"/>
      <w:suff w:val="nothing"/>
      <w:lvlText w:val="（%1）"/>
      <w:lvlJc w:val="left"/>
    </w:lvl>
  </w:abstractNum>
  <w:num w:numId="1">
    <w:abstractNumId w:val="2"/>
  </w:num>
  <w:num w:numId="2">
    <w:abstractNumId w:val="6"/>
  </w:num>
  <w:num w:numId="3">
    <w:abstractNumId w:val="7"/>
  </w:num>
  <w:num w:numId="4">
    <w:abstractNumId w:val="8"/>
  </w:num>
  <w:num w:numId="5">
    <w:abstractNumId w:val="9"/>
  </w:num>
  <w:num w:numId="6">
    <w:abstractNumId w:val="10"/>
  </w:num>
  <w:num w:numId="7">
    <w:abstractNumId w:val="11"/>
  </w:num>
  <w:num w:numId="8">
    <w:abstractNumId w:val="3"/>
  </w:num>
  <w:num w:numId="9">
    <w:abstractNumId w:val="0"/>
  </w:num>
  <w:num w:numId="10">
    <w:abstractNumId w:val="4"/>
  </w:num>
  <w:num w:numId="11">
    <w:abstractNumId w:val="5"/>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63C8"/>
    <w:rsid w:val="00060118"/>
    <w:rsid w:val="00083614"/>
    <w:rsid w:val="00097CFB"/>
    <w:rsid w:val="001178BB"/>
    <w:rsid w:val="00134E66"/>
    <w:rsid w:val="00151DA9"/>
    <w:rsid w:val="00160F5F"/>
    <w:rsid w:val="00172A27"/>
    <w:rsid w:val="00191C4A"/>
    <w:rsid w:val="001F3E98"/>
    <w:rsid w:val="00210F64"/>
    <w:rsid w:val="00291BE1"/>
    <w:rsid w:val="002C34C8"/>
    <w:rsid w:val="002E5A7D"/>
    <w:rsid w:val="00313A99"/>
    <w:rsid w:val="003616FC"/>
    <w:rsid w:val="00372512"/>
    <w:rsid w:val="00374D43"/>
    <w:rsid w:val="00384282"/>
    <w:rsid w:val="003B0037"/>
    <w:rsid w:val="003E4DCA"/>
    <w:rsid w:val="00443DB5"/>
    <w:rsid w:val="00466076"/>
    <w:rsid w:val="00527115"/>
    <w:rsid w:val="00537668"/>
    <w:rsid w:val="005663BD"/>
    <w:rsid w:val="0057334F"/>
    <w:rsid w:val="00582A53"/>
    <w:rsid w:val="00593E50"/>
    <w:rsid w:val="005A590B"/>
    <w:rsid w:val="005D5309"/>
    <w:rsid w:val="00630EC2"/>
    <w:rsid w:val="006461D4"/>
    <w:rsid w:val="006958C3"/>
    <w:rsid w:val="006E6EA8"/>
    <w:rsid w:val="00701441"/>
    <w:rsid w:val="00727225"/>
    <w:rsid w:val="007650CD"/>
    <w:rsid w:val="007C1684"/>
    <w:rsid w:val="007F1117"/>
    <w:rsid w:val="007F7E17"/>
    <w:rsid w:val="008168F7"/>
    <w:rsid w:val="008262B4"/>
    <w:rsid w:val="008332CF"/>
    <w:rsid w:val="0084691D"/>
    <w:rsid w:val="008526E9"/>
    <w:rsid w:val="008612A6"/>
    <w:rsid w:val="00877F3C"/>
    <w:rsid w:val="008C510F"/>
    <w:rsid w:val="00913B76"/>
    <w:rsid w:val="00921F4C"/>
    <w:rsid w:val="009352D3"/>
    <w:rsid w:val="0095765B"/>
    <w:rsid w:val="009B42D2"/>
    <w:rsid w:val="009C06FF"/>
    <w:rsid w:val="00A17E11"/>
    <w:rsid w:val="00AC4B72"/>
    <w:rsid w:val="00AC6D98"/>
    <w:rsid w:val="00AF113D"/>
    <w:rsid w:val="00B10D7F"/>
    <w:rsid w:val="00B71BDD"/>
    <w:rsid w:val="00BA6F8F"/>
    <w:rsid w:val="00BD594A"/>
    <w:rsid w:val="00C10246"/>
    <w:rsid w:val="00C146B6"/>
    <w:rsid w:val="00CE06A9"/>
    <w:rsid w:val="00D03748"/>
    <w:rsid w:val="00D235C3"/>
    <w:rsid w:val="00D672C4"/>
    <w:rsid w:val="00D944FA"/>
    <w:rsid w:val="00DA7DB6"/>
    <w:rsid w:val="00DB7D84"/>
    <w:rsid w:val="00DF180D"/>
    <w:rsid w:val="00E66C5E"/>
    <w:rsid w:val="00EB6B90"/>
    <w:rsid w:val="00FD7D12"/>
    <w:rsid w:val="01060A7E"/>
    <w:rsid w:val="011C77F9"/>
    <w:rsid w:val="011F4653"/>
    <w:rsid w:val="015277DA"/>
    <w:rsid w:val="0169692F"/>
    <w:rsid w:val="01800855"/>
    <w:rsid w:val="0184200F"/>
    <w:rsid w:val="01905A57"/>
    <w:rsid w:val="01910145"/>
    <w:rsid w:val="01973CC4"/>
    <w:rsid w:val="01A950B3"/>
    <w:rsid w:val="01BE6832"/>
    <w:rsid w:val="01C004E2"/>
    <w:rsid w:val="01C027A1"/>
    <w:rsid w:val="01CC7AAA"/>
    <w:rsid w:val="01EE7899"/>
    <w:rsid w:val="01F70F1E"/>
    <w:rsid w:val="01F7229F"/>
    <w:rsid w:val="01FB796B"/>
    <w:rsid w:val="020161E0"/>
    <w:rsid w:val="02071F4D"/>
    <w:rsid w:val="021C1659"/>
    <w:rsid w:val="021E0BDD"/>
    <w:rsid w:val="022C0775"/>
    <w:rsid w:val="022E2DAA"/>
    <w:rsid w:val="02446620"/>
    <w:rsid w:val="02487C08"/>
    <w:rsid w:val="0255595B"/>
    <w:rsid w:val="02577FF8"/>
    <w:rsid w:val="02663563"/>
    <w:rsid w:val="027A7BA0"/>
    <w:rsid w:val="027D0E6E"/>
    <w:rsid w:val="027F1C18"/>
    <w:rsid w:val="02836A5C"/>
    <w:rsid w:val="028B110E"/>
    <w:rsid w:val="029249AB"/>
    <w:rsid w:val="030C7C50"/>
    <w:rsid w:val="03117CA5"/>
    <w:rsid w:val="031D4295"/>
    <w:rsid w:val="032346EA"/>
    <w:rsid w:val="0336485F"/>
    <w:rsid w:val="033721E6"/>
    <w:rsid w:val="03385DC8"/>
    <w:rsid w:val="034B488C"/>
    <w:rsid w:val="034C741E"/>
    <w:rsid w:val="03536815"/>
    <w:rsid w:val="036E7574"/>
    <w:rsid w:val="03845EF8"/>
    <w:rsid w:val="039938DB"/>
    <w:rsid w:val="03AB09D7"/>
    <w:rsid w:val="03E5601E"/>
    <w:rsid w:val="03E81508"/>
    <w:rsid w:val="03EC08C7"/>
    <w:rsid w:val="03ED74C1"/>
    <w:rsid w:val="040E7F9D"/>
    <w:rsid w:val="04202B6B"/>
    <w:rsid w:val="04355802"/>
    <w:rsid w:val="044573CD"/>
    <w:rsid w:val="046E268F"/>
    <w:rsid w:val="0482464E"/>
    <w:rsid w:val="04862BCD"/>
    <w:rsid w:val="048B7AD2"/>
    <w:rsid w:val="049863AD"/>
    <w:rsid w:val="049E687C"/>
    <w:rsid w:val="04AB0836"/>
    <w:rsid w:val="04B97C35"/>
    <w:rsid w:val="04C76ADE"/>
    <w:rsid w:val="04E07FC9"/>
    <w:rsid w:val="04E30517"/>
    <w:rsid w:val="04EC0E02"/>
    <w:rsid w:val="04FE1A5B"/>
    <w:rsid w:val="0504004A"/>
    <w:rsid w:val="0504754C"/>
    <w:rsid w:val="052F5BDA"/>
    <w:rsid w:val="05360B90"/>
    <w:rsid w:val="05364A3F"/>
    <w:rsid w:val="0537425E"/>
    <w:rsid w:val="0542085C"/>
    <w:rsid w:val="05490CBD"/>
    <w:rsid w:val="05556EF2"/>
    <w:rsid w:val="057406DC"/>
    <w:rsid w:val="0577388F"/>
    <w:rsid w:val="057B3612"/>
    <w:rsid w:val="057F2994"/>
    <w:rsid w:val="058D2C7E"/>
    <w:rsid w:val="05963091"/>
    <w:rsid w:val="05C03E7B"/>
    <w:rsid w:val="05C91827"/>
    <w:rsid w:val="05CE16BF"/>
    <w:rsid w:val="05D82D9A"/>
    <w:rsid w:val="05EB535C"/>
    <w:rsid w:val="05F004E9"/>
    <w:rsid w:val="05F45830"/>
    <w:rsid w:val="05F773B2"/>
    <w:rsid w:val="060A0A85"/>
    <w:rsid w:val="060F77A8"/>
    <w:rsid w:val="0631017B"/>
    <w:rsid w:val="06326953"/>
    <w:rsid w:val="064C5B30"/>
    <w:rsid w:val="06567DA6"/>
    <w:rsid w:val="066523CF"/>
    <w:rsid w:val="06666CC6"/>
    <w:rsid w:val="067D4DBD"/>
    <w:rsid w:val="068018B9"/>
    <w:rsid w:val="06B52F22"/>
    <w:rsid w:val="06B64C28"/>
    <w:rsid w:val="06B77CF2"/>
    <w:rsid w:val="06C45933"/>
    <w:rsid w:val="06C47528"/>
    <w:rsid w:val="06D21286"/>
    <w:rsid w:val="06D45050"/>
    <w:rsid w:val="06E03360"/>
    <w:rsid w:val="07012BF9"/>
    <w:rsid w:val="07015D0B"/>
    <w:rsid w:val="070E2DEB"/>
    <w:rsid w:val="071E7B28"/>
    <w:rsid w:val="071F45DB"/>
    <w:rsid w:val="07287F45"/>
    <w:rsid w:val="07401B5F"/>
    <w:rsid w:val="07630B7D"/>
    <w:rsid w:val="07663A39"/>
    <w:rsid w:val="07835FE9"/>
    <w:rsid w:val="07900AF6"/>
    <w:rsid w:val="07903E14"/>
    <w:rsid w:val="07987100"/>
    <w:rsid w:val="079E62ED"/>
    <w:rsid w:val="07A74369"/>
    <w:rsid w:val="07C612AD"/>
    <w:rsid w:val="07D74E4C"/>
    <w:rsid w:val="07E12120"/>
    <w:rsid w:val="07EB0CAB"/>
    <w:rsid w:val="07F7087E"/>
    <w:rsid w:val="081347C8"/>
    <w:rsid w:val="0822570E"/>
    <w:rsid w:val="08262669"/>
    <w:rsid w:val="082A7D13"/>
    <w:rsid w:val="082C36EB"/>
    <w:rsid w:val="083348E4"/>
    <w:rsid w:val="083A1687"/>
    <w:rsid w:val="083C2BD1"/>
    <w:rsid w:val="08594BFF"/>
    <w:rsid w:val="08663FBA"/>
    <w:rsid w:val="088C740B"/>
    <w:rsid w:val="0892740B"/>
    <w:rsid w:val="089C3033"/>
    <w:rsid w:val="089C590C"/>
    <w:rsid w:val="08A644E1"/>
    <w:rsid w:val="08B76950"/>
    <w:rsid w:val="08B94764"/>
    <w:rsid w:val="08C435AD"/>
    <w:rsid w:val="08C61AA9"/>
    <w:rsid w:val="08CC11C6"/>
    <w:rsid w:val="08D26B4E"/>
    <w:rsid w:val="08D61E21"/>
    <w:rsid w:val="08DE2E95"/>
    <w:rsid w:val="08E30BBD"/>
    <w:rsid w:val="09241EF2"/>
    <w:rsid w:val="092F0B34"/>
    <w:rsid w:val="09310C2C"/>
    <w:rsid w:val="09426A99"/>
    <w:rsid w:val="094B5085"/>
    <w:rsid w:val="09547666"/>
    <w:rsid w:val="09574844"/>
    <w:rsid w:val="095E6288"/>
    <w:rsid w:val="09613C63"/>
    <w:rsid w:val="09644214"/>
    <w:rsid w:val="097926AD"/>
    <w:rsid w:val="097F25B8"/>
    <w:rsid w:val="09850BEE"/>
    <w:rsid w:val="09A37714"/>
    <w:rsid w:val="09AA7576"/>
    <w:rsid w:val="09C10061"/>
    <w:rsid w:val="09D26456"/>
    <w:rsid w:val="09D600F6"/>
    <w:rsid w:val="09DA63FD"/>
    <w:rsid w:val="09E02C2D"/>
    <w:rsid w:val="09E37EEB"/>
    <w:rsid w:val="09ED5167"/>
    <w:rsid w:val="0A0B0DC2"/>
    <w:rsid w:val="0A1A6041"/>
    <w:rsid w:val="0A1D07A6"/>
    <w:rsid w:val="0A2515BF"/>
    <w:rsid w:val="0A3548C1"/>
    <w:rsid w:val="0A3A213F"/>
    <w:rsid w:val="0A3C4B63"/>
    <w:rsid w:val="0A3F595E"/>
    <w:rsid w:val="0A473497"/>
    <w:rsid w:val="0A4803A6"/>
    <w:rsid w:val="0A605685"/>
    <w:rsid w:val="0A794DC8"/>
    <w:rsid w:val="0A956AB5"/>
    <w:rsid w:val="0AAA6522"/>
    <w:rsid w:val="0AC11B6D"/>
    <w:rsid w:val="0AD01E80"/>
    <w:rsid w:val="0AD500B4"/>
    <w:rsid w:val="0ADF466C"/>
    <w:rsid w:val="0AE007CE"/>
    <w:rsid w:val="0B0A0C6F"/>
    <w:rsid w:val="0B0C5A06"/>
    <w:rsid w:val="0B0D4449"/>
    <w:rsid w:val="0B292753"/>
    <w:rsid w:val="0B2F1C70"/>
    <w:rsid w:val="0B794086"/>
    <w:rsid w:val="0B852487"/>
    <w:rsid w:val="0BAA5412"/>
    <w:rsid w:val="0BAB4F87"/>
    <w:rsid w:val="0BB12668"/>
    <w:rsid w:val="0BC208F3"/>
    <w:rsid w:val="0BC92509"/>
    <w:rsid w:val="0BD55594"/>
    <w:rsid w:val="0BE7594E"/>
    <w:rsid w:val="0BF10063"/>
    <w:rsid w:val="0BFA09EA"/>
    <w:rsid w:val="0BFB370D"/>
    <w:rsid w:val="0BFC29D8"/>
    <w:rsid w:val="0C1474EB"/>
    <w:rsid w:val="0C30396C"/>
    <w:rsid w:val="0C5360EE"/>
    <w:rsid w:val="0C5A3F9B"/>
    <w:rsid w:val="0C744E82"/>
    <w:rsid w:val="0C7D1EA9"/>
    <w:rsid w:val="0C7D5A76"/>
    <w:rsid w:val="0C9774C0"/>
    <w:rsid w:val="0CB44DF9"/>
    <w:rsid w:val="0CBA7C31"/>
    <w:rsid w:val="0CDA136D"/>
    <w:rsid w:val="0D0666EE"/>
    <w:rsid w:val="0D0D68DE"/>
    <w:rsid w:val="0D234FA7"/>
    <w:rsid w:val="0D440F19"/>
    <w:rsid w:val="0D4C72FA"/>
    <w:rsid w:val="0D511A13"/>
    <w:rsid w:val="0D532E3F"/>
    <w:rsid w:val="0D6301C0"/>
    <w:rsid w:val="0D9C67ED"/>
    <w:rsid w:val="0DA2297E"/>
    <w:rsid w:val="0DAC14F0"/>
    <w:rsid w:val="0DB81636"/>
    <w:rsid w:val="0DBE3E45"/>
    <w:rsid w:val="0DF46A4B"/>
    <w:rsid w:val="0DF47326"/>
    <w:rsid w:val="0DFF02FF"/>
    <w:rsid w:val="0E061E92"/>
    <w:rsid w:val="0E06736C"/>
    <w:rsid w:val="0E076F51"/>
    <w:rsid w:val="0E083164"/>
    <w:rsid w:val="0E12755E"/>
    <w:rsid w:val="0E130073"/>
    <w:rsid w:val="0E177217"/>
    <w:rsid w:val="0E1F5E8D"/>
    <w:rsid w:val="0E201735"/>
    <w:rsid w:val="0E297B9A"/>
    <w:rsid w:val="0E3324EA"/>
    <w:rsid w:val="0E545591"/>
    <w:rsid w:val="0E5567B5"/>
    <w:rsid w:val="0E597F62"/>
    <w:rsid w:val="0E5C76FF"/>
    <w:rsid w:val="0E5D58AE"/>
    <w:rsid w:val="0E727E64"/>
    <w:rsid w:val="0E7434A0"/>
    <w:rsid w:val="0E792F78"/>
    <w:rsid w:val="0E82195C"/>
    <w:rsid w:val="0E964D32"/>
    <w:rsid w:val="0E9973E9"/>
    <w:rsid w:val="0E9A28DE"/>
    <w:rsid w:val="0E9C57D2"/>
    <w:rsid w:val="0EA17F34"/>
    <w:rsid w:val="0EA40455"/>
    <w:rsid w:val="0EA849DD"/>
    <w:rsid w:val="0EB46673"/>
    <w:rsid w:val="0EBD4C75"/>
    <w:rsid w:val="0EC209B0"/>
    <w:rsid w:val="0ED273C1"/>
    <w:rsid w:val="0EF069DD"/>
    <w:rsid w:val="0F3C30DF"/>
    <w:rsid w:val="0F3E2E51"/>
    <w:rsid w:val="0F4371B9"/>
    <w:rsid w:val="0F5561B6"/>
    <w:rsid w:val="0F576E41"/>
    <w:rsid w:val="0F5B257D"/>
    <w:rsid w:val="0F68796B"/>
    <w:rsid w:val="0F775EE3"/>
    <w:rsid w:val="0F814358"/>
    <w:rsid w:val="0F86629E"/>
    <w:rsid w:val="0F8A5592"/>
    <w:rsid w:val="0FA61C4C"/>
    <w:rsid w:val="0FB72661"/>
    <w:rsid w:val="0FDD230D"/>
    <w:rsid w:val="105F4975"/>
    <w:rsid w:val="106C2CE3"/>
    <w:rsid w:val="10914613"/>
    <w:rsid w:val="10A21A87"/>
    <w:rsid w:val="10AE055B"/>
    <w:rsid w:val="10CB73AF"/>
    <w:rsid w:val="11015A85"/>
    <w:rsid w:val="110408FE"/>
    <w:rsid w:val="1125038A"/>
    <w:rsid w:val="11311545"/>
    <w:rsid w:val="11400855"/>
    <w:rsid w:val="114441B7"/>
    <w:rsid w:val="11526B6C"/>
    <w:rsid w:val="115D031C"/>
    <w:rsid w:val="116A5327"/>
    <w:rsid w:val="1187708A"/>
    <w:rsid w:val="1199232F"/>
    <w:rsid w:val="11A40A68"/>
    <w:rsid w:val="11AC5C41"/>
    <w:rsid w:val="11BF6269"/>
    <w:rsid w:val="11C64A37"/>
    <w:rsid w:val="11D84F76"/>
    <w:rsid w:val="11DD16E2"/>
    <w:rsid w:val="11E11D06"/>
    <w:rsid w:val="11F30C4D"/>
    <w:rsid w:val="120C0490"/>
    <w:rsid w:val="12140688"/>
    <w:rsid w:val="12153707"/>
    <w:rsid w:val="12201CDB"/>
    <w:rsid w:val="122464D7"/>
    <w:rsid w:val="122D148A"/>
    <w:rsid w:val="1232139D"/>
    <w:rsid w:val="126274C0"/>
    <w:rsid w:val="127040B7"/>
    <w:rsid w:val="127436F0"/>
    <w:rsid w:val="12806AC0"/>
    <w:rsid w:val="12816B64"/>
    <w:rsid w:val="12852B6B"/>
    <w:rsid w:val="128713F7"/>
    <w:rsid w:val="128D365C"/>
    <w:rsid w:val="12B635E5"/>
    <w:rsid w:val="12BE26F1"/>
    <w:rsid w:val="12E9445A"/>
    <w:rsid w:val="130B76CA"/>
    <w:rsid w:val="13230F42"/>
    <w:rsid w:val="132A75DE"/>
    <w:rsid w:val="133754DA"/>
    <w:rsid w:val="13443061"/>
    <w:rsid w:val="135109AF"/>
    <w:rsid w:val="1356181E"/>
    <w:rsid w:val="136A1E53"/>
    <w:rsid w:val="13717E96"/>
    <w:rsid w:val="137E7419"/>
    <w:rsid w:val="13AC6F20"/>
    <w:rsid w:val="13BB2FCB"/>
    <w:rsid w:val="13C45155"/>
    <w:rsid w:val="13C528E1"/>
    <w:rsid w:val="13C776A2"/>
    <w:rsid w:val="13C9303A"/>
    <w:rsid w:val="13E55D6A"/>
    <w:rsid w:val="13E95A4C"/>
    <w:rsid w:val="140B7C9B"/>
    <w:rsid w:val="140E13B4"/>
    <w:rsid w:val="142E003C"/>
    <w:rsid w:val="14360142"/>
    <w:rsid w:val="14365B8B"/>
    <w:rsid w:val="14581747"/>
    <w:rsid w:val="14597AC3"/>
    <w:rsid w:val="14665F74"/>
    <w:rsid w:val="14760E00"/>
    <w:rsid w:val="14822A7A"/>
    <w:rsid w:val="1485633A"/>
    <w:rsid w:val="148C5728"/>
    <w:rsid w:val="14947D72"/>
    <w:rsid w:val="14BC62B4"/>
    <w:rsid w:val="14C5042D"/>
    <w:rsid w:val="14C76628"/>
    <w:rsid w:val="14E22EDA"/>
    <w:rsid w:val="14E3492E"/>
    <w:rsid w:val="14FD3C9A"/>
    <w:rsid w:val="15153858"/>
    <w:rsid w:val="154302C3"/>
    <w:rsid w:val="154B0663"/>
    <w:rsid w:val="156015F7"/>
    <w:rsid w:val="15640B46"/>
    <w:rsid w:val="157B2EC3"/>
    <w:rsid w:val="15823F9A"/>
    <w:rsid w:val="15D000D2"/>
    <w:rsid w:val="15D02243"/>
    <w:rsid w:val="15F43D13"/>
    <w:rsid w:val="15FF396A"/>
    <w:rsid w:val="16124CDA"/>
    <w:rsid w:val="16207C71"/>
    <w:rsid w:val="163A5535"/>
    <w:rsid w:val="16405047"/>
    <w:rsid w:val="16497DD1"/>
    <w:rsid w:val="16534CCB"/>
    <w:rsid w:val="16560B29"/>
    <w:rsid w:val="16681117"/>
    <w:rsid w:val="167C3A05"/>
    <w:rsid w:val="1682582A"/>
    <w:rsid w:val="16945061"/>
    <w:rsid w:val="16A66DE7"/>
    <w:rsid w:val="16AD566B"/>
    <w:rsid w:val="16B74DED"/>
    <w:rsid w:val="16BE3E9C"/>
    <w:rsid w:val="16CC536B"/>
    <w:rsid w:val="16DA62CC"/>
    <w:rsid w:val="16E30E24"/>
    <w:rsid w:val="16F96C09"/>
    <w:rsid w:val="17030FE0"/>
    <w:rsid w:val="172100A1"/>
    <w:rsid w:val="17215062"/>
    <w:rsid w:val="172B41A1"/>
    <w:rsid w:val="17316C6A"/>
    <w:rsid w:val="1735560D"/>
    <w:rsid w:val="17376AFF"/>
    <w:rsid w:val="1752187E"/>
    <w:rsid w:val="17526E65"/>
    <w:rsid w:val="17563DB4"/>
    <w:rsid w:val="175B4CDF"/>
    <w:rsid w:val="176372D3"/>
    <w:rsid w:val="1775372B"/>
    <w:rsid w:val="17783747"/>
    <w:rsid w:val="177D1138"/>
    <w:rsid w:val="177F26EC"/>
    <w:rsid w:val="1785079C"/>
    <w:rsid w:val="17904134"/>
    <w:rsid w:val="17B40B33"/>
    <w:rsid w:val="17D069D2"/>
    <w:rsid w:val="17E150B0"/>
    <w:rsid w:val="17E15C94"/>
    <w:rsid w:val="17E73473"/>
    <w:rsid w:val="17EE2C56"/>
    <w:rsid w:val="17EF1D48"/>
    <w:rsid w:val="17FA7A16"/>
    <w:rsid w:val="180916B5"/>
    <w:rsid w:val="18391C51"/>
    <w:rsid w:val="184D39FC"/>
    <w:rsid w:val="186F4A9A"/>
    <w:rsid w:val="187504E8"/>
    <w:rsid w:val="18786FBE"/>
    <w:rsid w:val="188B285D"/>
    <w:rsid w:val="18924BA1"/>
    <w:rsid w:val="18931066"/>
    <w:rsid w:val="189C4E11"/>
    <w:rsid w:val="18A00E30"/>
    <w:rsid w:val="18B067EE"/>
    <w:rsid w:val="18B07609"/>
    <w:rsid w:val="18B56CA7"/>
    <w:rsid w:val="18D70101"/>
    <w:rsid w:val="18DE241E"/>
    <w:rsid w:val="18E72D5C"/>
    <w:rsid w:val="18EA1429"/>
    <w:rsid w:val="18F94AC5"/>
    <w:rsid w:val="19067F07"/>
    <w:rsid w:val="190F4239"/>
    <w:rsid w:val="19132AB1"/>
    <w:rsid w:val="19135665"/>
    <w:rsid w:val="191A5E2F"/>
    <w:rsid w:val="193C488F"/>
    <w:rsid w:val="1945396D"/>
    <w:rsid w:val="19490B31"/>
    <w:rsid w:val="19515D5C"/>
    <w:rsid w:val="195629C8"/>
    <w:rsid w:val="195E7371"/>
    <w:rsid w:val="19935032"/>
    <w:rsid w:val="19AE5F70"/>
    <w:rsid w:val="19B2356A"/>
    <w:rsid w:val="19BB2993"/>
    <w:rsid w:val="19CB7B21"/>
    <w:rsid w:val="19D601AE"/>
    <w:rsid w:val="19DC2815"/>
    <w:rsid w:val="19F2751F"/>
    <w:rsid w:val="19F379B1"/>
    <w:rsid w:val="1A0132ED"/>
    <w:rsid w:val="1A0211CF"/>
    <w:rsid w:val="1A064018"/>
    <w:rsid w:val="1A12243A"/>
    <w:rsid w:val="1A1267A8"/>
    <w:rsid w:val="1A17739E"/>
    <w:rsid w:val="1A4655B6"/>
    <w:rsid w:val="1A46674F"/>
    <w:rsid w:val="1A4D0F72"/>
    <w:rsid w:val="1A5655C4"/>
    <w:rsid w:val="1A582E25"/>
    <w:rsid w:val="1A644BF1"/>
    <w:rsid w:val="1A831833"/>
    <w:rsid w:val="1A9235BC"/>
    <w:rsid w:val="1AA3537A"/>
    <w:rsid w:val="1AAA7380"/>
    <w:rsid w:val="1AC0514F"/>
    <w:rsid w:val="1AC330AC"/>
    <w:rsid w:val="1AD07841"/>
    <w:rsid w:val="1ADC4A20"/>
    <w:rsid w:val="1AF67A49"/>
    <w:rsid w:val="1AF731D2"/>
    <w:rsid w:val="1B0F6C56"/>
    <w:rsid w:val="1B1816D4"/>
    <w:rsid w:val="1B197C49"/>
    <w:rsid w:val="1B1E7C6C"/>
    <w:rsid w:val="1B305E4E"/>
    <w:rsid w:val="1B40426B"/>
    <w:rsid w:val="1B4C3307"/>
    <w:rsid w:val="1B553D27"/>
    <w:rsid w:val="1B60122F"/>
    <w:rsid w:val="1B626514"/>
    <w:rsid w:val="1B761364"/>
    <w:rsid w:val="1B7A753A"/>
    <w:rsid w:val="1B846A34"/>
    <w:rsid w:val="1B850E52"/>
    <w:rsid w:val="1B8B2282"/>
    <w:rsid w:val="1B8D0BC4"/>
    <w:rsid w:val="1B992D58"/>
    <w:rsid w:val="1BA41D25"/>
    <w:rsid w:val="1BC06D2E"/>
    <w:rsid w:val="1BC7677D"/>
    <w:rsid w:val="1BCE5B41"/>
    <w:rsid w:val="1BD24A0F"/>
    <w:rsid w:val="1BF32AC9"/>
    <w:rsid w:val="1BF65D72"/>
    <w:rsid w:val="1C05582A"/>
    <w:rsid w:val="1C0B68A3"/>
    <w:rsid w:val="1C174058"/>
    <w:rsid w:val="1C1770A0"/>
    <w:rsid w:val="1C3213AE"/>
    <w:rsid w:val="1C3B6C52"/>
    <w:rsid w:val="1C3F102A"/>
    <w:rsid w:val="1C4271F8"/>
    <w:rsid w:val="1C4311DB"/>
    <w:rsid w:val="1C513C9A"/>
    <w:rsid w:val="1C573421"/>
    <w:rsid w:val="1C5C3CA9"/>
    <w:rsid w:val="1C616B5D"/>
    <w:rsid w:val="1C98316D"/>
    <w:rsid w:val="1C9B1740"/>
    <w:rsid w:val="1CBA7D23"/>
    <w:rsid w:val="1CCF61C0"/>
    <w:rsid w:val="1CD57345"/>
    <w:rsid w:val="1CEF1D42"/>
    <w:rsid w:val="1CF53186"/>
    <w:rsid w:val="1CFC2F0D"/>
    <w:rsid w:val="1D09123F"/>
    <w:rsid w:val="1D1A7BCA"/>
    <w:rsid w:val="1D1B031A"/>
    <w:rsid w:val="1D2A5BEA"/>
    <w:rsid w:val="1D4A0525"/>
    <w:rsid w:val="1D5C1D65"/>
    <w:rsid w:val="1D5C633A"/>
    <w:rsid w:val="1D614EB6"/>
    <w:rsid w:val="1D64434E"/>
    <w:rsid w:val="1D8A2527"/>
    <w:rsid w:val="1D9F7520"/>
    <w:rsid w:val="1DA23F45"/>
    <w:rsid w:val="1DA267AF"/>
    <w:rsid w:val="1DC168FC"/>
    <w:rsid w:val="1DCE4868"/>
    <w:rsid w:val="1DD04DEA"/>
    <w:rsid w:val="1DE77B03"/>
    <w:rsid w:val="1DF46CE0"/>
    <w:rsid w:val="1DFE427F"/>
    <w:rsid w:val="1E04175F"/>
    <w:rsid w:val="1E0F3F98"/>
    <w:rsid w:val="1E19795B"/>
    <w:rsid w:val="1E1F3601"/>
    <w:rsid w:val="1E234472"/>
    <w:rsid w:val="1E2527C7"/>
    <w:rsid w:val="1E265BC5"/>
    <w:rsid w:val="1E270B26"/>
    <w:rsid w:val="1E2901E8"/>
    <w:rsid w:val="1E3A26BD"/>
    <w:rsid w:val="1E3B3CAD"/>
    <w:rsid w:val="1E55782A"/>
    <w:rsid w:val="1E6C2F37"/>
    <w:rsid w:val="1E777C8D"/>
    <w:rsid w:val="1E815803"/>
    <w:rsid w:val="1E8A4BBE"/>
    <w:rsid w:val="1E8C33CD"/>
    <w:rsid w:val="1E9017D5"/>
    <w:rsid w:val="1E9912B7"/>
    <w:rsid w:val="1E9A0DF8"/>
    <w:rsid w:val="1EA012F6"/>
    <w:rsid w:val="1EA344E3"/>
    <w:rsid w:val="1EB660CC"/>
    <w:rsid w:val="1EB80A1E"/>
    <w:rsid w:val="1EE134B0"/>
    <w:rsid w:val="1EFB1F5F"/>
    <w:rsid w:val="1F1A6AB8"/>
    <w:rsid w:val="1F203802"/>
    <w:rsid w:val="1F286071"/>
    <w:rsid w:val="1F2F5AF2"/>
    <w:rsid w:val="1F312E71"/>
    <w:rsid w:val="1F31708E"/>
    <w:rsid w:val="1F425650"/>
    <w:rsid w:val="1F450E1E"/>
    <w:rsid w:val="1F5E3E46"/>
    <w:rsid w:val="1F650E95"/>
    <w:rsid w:val="1F6C510F"/>
    <w:rsid w:val="1F70612E"/>
    <w:rsid w:val="1F775446"/>
    <w:rsid w:val="1F7772FB"/>
    <w:rsid w:val="1F807493"/>
    <w:rsid w:val="1F934428"/>
    <w:rsid w:val="1F9822D8"/>
    <w:rsid w:val="1F9A353A"/>
    <w:rsid w:val="1FA209C5"/>
    <w:rsid w:val="1FC14874"/>
    <w:rsid w:val="1FD264E3"/>
    <w:rsid w:val="1FD96DAB"/>
    <w:rsid w:val="1FE23168"/>
    <w:rsid w:val="1FEA6C84"/>
    <w:rsid w:val="1FF00FA6"/>
    <w:rsid w:val="1FFE2905"/>
    <w:rsid w:val="1FFE7A6B"/>
    <w:rsid w:val="20032F6F"/>
    <w:rsid w:val="20090165"/>
    <w:rsid w:val="200A5391"/>
    <w:rsid w:val="20181C2A"/>
    <w:rsid w:val="201E4C80"/>
    <w:rsid w:val="202C42BD"/>
    <w:rsid w:val="20320CBD"/>
    <w:rsid w:val="20353ED6"/>
    <w:rsid w:val="203562E1"/>
    <w:rsid w:val="203867C3"/>
    <w:rsid w:val="20506FD2"/>
    <w:rsid w:val="208654F0"/>
    <w:rsid w:val="208D04E0"/>
    <w:rsid w:val="209C1244"/>
    <w:rsid w:val="20A875DC"/>
    <w:rsid w:val="20B04BA1"/>
    <w:rsid w:val="20CF27F4"/>
    <w:rsid w:val="20D159B7"/>
    <w:rsid w:val="20E073D0"/>
    <w:rsid w:val="20E92AE8"/>
    <w:rsid w:val="20F52656"/>
    <w:rsid w:val="20F56DF0"/>
    <w:rsid w:val="20F81D37"/>
    <w:rsid w:val="21036570"/>
    <w:rsid w:val="21285EFC"/>
    <w:rsid w:val="21304125"/>
    <w:rsid w:val="213E23D6"/>
    <w:rsid w:val="21460591"/>
    <w:rsid w:val="214641CE"/>
    <w:rsid w:val="2153391C"/>
    <w:rsid w:val="215F063A"/>
    <w:rsid w:val="217A0817"/>
    <w:rsid w:val="21857B52"/>
    <w:rsid w:val="2187707F"/>
    <w:rsid w:val="21B13E54"/>
    <w:rsid w:val="21BB4048"/>
    <w:rsid w:val="21E83D11"/>
    <w:rsid w:val="21ED0C81"/>
    <w:rsid w:val="21FE3DB5"/>
    <w:rsid w:val="220702AC"/>
    <w:rsid w:val="220D4D86"/>
    <w:rsid w:val="22135ABA"/>
    <w:rsid w:val="222547E6"/>
    <w:rsid w:val="222E34C9"/>
    <w:rsid w:val="225D3CC8"/>
    <w:rsid w:val="22755619"/>
    <w:rsid w:val="22A64444"/>
    <w:rsid w:val="22DA7012"/>
    <w:rsid w:val="22F72544"/>
    <w:rsid w:val="230C0BD3"/>
    <w:rsid w:val="230C171D"/>
    <w:rsid w:val="231C4B90"/>
    <w:rsid w:val="232447E0"/>
    <w:rsid w:val="232754BE"/>
    <w:rsid w:val="23302CA1"/>
    <w:rsid w:val="23465B93"/>
    <w:rsid w:val="234A34A7"/>
    <w:rsid w:val="23503C69"/>
    <w:rsid w:val="235B7DB5"/>
    <w:rsid w:val="23791954"/>
    <w:rsid w:val="23824CE5"/>
    <w:rsid w:val="23882BB3"/>
    <w:rsid w:val="23884DD8"/>
    <w:rsid w:val="238E33B2"/>
    <w:rsid w:val="23AF37B1"/>
    <w:rsid w:val="23B421AE"/>
    <w:rsid w:val="23B9355B"/>
    <w:rsid w:val="23D155E2"/>
    <w:rsid w:val="23E07C4A"/>
    <w:rsid w:val="23F63EF6"/>
    <w:rsid w:val="23FB36FF"/>
    <w:rsid w:val="23FB75D0"/>
    <w:rsid w:val="23FE6018"/>
    <w:rsid w:val="23FE7A6B"/>
    <w:rsid w:val="240F1492"/>
    <w:rsid w:val="24220214"/>
    <w:rsid w:val="243F65C4"/>
    <w:rsid w:val="24470031"/>
    <w:rsid w:val="244E0F3E"/>
    <w:rsid w:val="246B308C"/>
    <w:rsid w:val="247F1CB8"/>
    <w:rsid w:val="248B4B2C"/>
    <w:rsid w:val="24962015"/>
    <w:rsid w:val="24970BCB"/>
    <w:rsid w:val="24990013"/>
    <w:rsid w:val="24A271C7"/>
    <w:rsid w:val="24B2624B"/>
    <w:rsid w:val="24B71F40"/>
    <w:rsid w:val="24BD3E2E"/>
    <w:rsid w:val="24CB5B15"/>
    <w:rsid w:val="24D02AEA"/>
    <w:rsid w:val="24DB3C3E"/>
    <w:rsid w:val="24DD1187"/>
    <w:rsid w:val="25007150"/>
    <w:rsid w:val="25244401"/>
    <w:rsid w:val="25364F55"/>
    <w:rsid w:val="25625FD4"/>
    <w:rsid w:val="25740ACF"/>
    <w:rsid w:val="2578469C"/>
    <w:rsid w:val="257C68C0"/>
    <w:rsid w:val="25923DFC"/>
    <w:rsid w:val="25927275"/>
    <w:rsid w:val="25AB0196"/>
    <w:rsid w:val="25AC074B"/>
    <w:rsid w:val="25AE344B"/>
    <w:rsid w:val="25B07F41"/>
    <w:rsid w:val="25B169EE"/>
    <w:rsid w:val="25B22CA4"/>
    <w:rsid w:val="25B81DF4"/>
    <w:rsid w:val="25BE62D4"/>
    <w:rsid w:val="25C64411"/>
    <w:rsid w:val="25D62123"/>
    <w:rsid w:val="25E93B18"/>
    <w:rsid w:val="25F51B7A"/>
    <w:rsid w:val="25FA25C8"/>
    <w:rsid w:val="25FA4839"/>
    <w:rsid w:val="25FC58C3"/>
    <w:rsid w:val="26001336"/>
    <w:rsid w:val="26015D8E"/>
    <w:rsid w:val="2608538F"/>
    <w:rsid w:val="261908E1"/>
    <w:rsid w:val="262127FC"/>
    <w:rsid w:val="263155A0"/>
    <w:rsid w:val="26385360"/>
    <w:rsid w:val="2641350F"/>
    <w:rsid w:val="265E2773"/>
    <w:rsid w:val="266A63F6"/>
    <w:rsid w:val="2675542C"/>
    <w:rsid w:val="26796951"/>
    <w:rsid w:val="26910DEB"/>
    <w:rsid w:val="26960616"/>
    <w:rsid w:val="26AF42CB"/>
    <w:rsid w:val="26D07841"/>
    <w:rsid w:val="26E174E6"/>
    <w:rsid w:val="26E61DBB"/>
    <w:rsid w:val="26E87AC7"/>
    <w:rsid w:val="26F07BE7"/>
    <w:rsid w:val="26FC1595"/>
    <w:rsid w:val="27086BAD"/>
    <w:rsid w:val="27182886"/>
    <w:rsid w:val="27257A03"/>
    <w:rsid w:val="272771EB"/>
    <w:rsid w:val="272D5E11"/>
    <w:rsid w:val="27313544"/>
    <w:rsid w:val="27404665"/>
    <w:rsid w:val="27443BEF"/>
    <w:rsid w:val="274B3155"/>
    <w:rsid w:val="274E7EFC"/>
    <w:rsid w:val="27587365"/>
    <w:rsid w:val="275F1500"/>
    <w:rsid w:val="2764308A"/>
    <w:rsid w:val="27661AE4"/>
    <w:rsid w:val="27740C24"/>
    <w:rsid w:val="277B50EE"/>
    <w:rsid w:val="277F2609"/>
    <w:rsid w:val="278242ED"/>
    <w:rsid w:val="27841711"/>
    <w:rsid w:val="27AD08EE"/>
    <w:rsid w:val="27AE67C2"/>
    <w:rsid w:val="27D53221"/>
    <w:rsid w:val="27EE3832"/>
    <w:rsid w:val="27F5599D"/>
    <w:rsid w:val="27F7709D"/>
    <w:rsid w:val="28006729"/>
    <w:rsid w:val="280379D7"/>
    <w:rsid w:val="28113DE1"/>
    <w:rsid w:val="28113E01"/>
    <w:rsid w:val="281B7AF1"/>
    <w:rsid w:val="282E64A6"/>
    <w:rsid w:val="28426D9E"/>
    <w:rsid w:val="28646936"/>
    <w:rsid w:val="286829A0"/>
    <w:rsid w:val="286A6CF8"/>
    <w:rsid w:val="286D5DAD"/>
    <w:rsid w:val="286F5AA1"/>
    <w:rsid w:val="28737BF7"/>
    <w:rsid w:val="287C0EDF"/>
    <w:rsid w:val="28874B13"/>
    <w:rsid w:val="289C763F"/>
    <w:rsid w:val="28AA00A1"/>
    <w:rsid w:val="28B34B93"/>
    <w:rsid w:val="28B541D0"/>
    <w:rsid w:val="28B96F79"/>
    <w:rsid w:val="28C52D46"/>
    <w:rsid w:val="28C80EF7"/>
    <w:rsid w:val="28CC5D23"/>
    <w:rsid w:val="28CE521C"/>
    <w:rsid w:val="28D8687E"/>
    <w:rsid w:val="28DC6234"/>
    <w:rsid w:val="28E6401F"/>
    <w:rsid w:val="28EB300F"/>
    <w:rsid w:val="28F72005"/>
    <w:rsid w:val="290212C7"/>
    <w:rsid w:val="290A6A70"/>
    <w:rsid w:val="291A3741"/>
    <w:rsid w:val="291C13FD"/>
    <w:rsid w:val="29283FE5"/>
    <w:rsid w:val="29375956"/>
    <w:rsid w:val="293E646F"/>
    <w:rsid w:val="29455DE3"/>
    <w:rsid w:val="294567A5"/>
    <w:rsid w:val="294E0B96"/>
    <w:rsid w:val="294E112B"/>
    <w:rsid w:val="294F2949"/>
    <w:rsid w:val="295D3140"/>
    <w:rsid w:val="295D3588"/>
    <w:rsid w:val="29613622"/>
    <w:rsid w:val="296B13B1"/>
    <w:rsid w:val="297B25D0"/>
    <w:rsid w:val="299D07E4"/>
    <w:rsid w:val="29AA1C51"/>
    <w:rsid w:val="29BD1505"/>
    <w:rsid w:val="29C61860"/>
    <w:rsid w:val="29D64EE6"/>
    <w:rsid w:val="29F71BF2"/>
    <w:rsid w:val="29F96FA0"/>
    <w:rsid w:val="29FD1A2C"/>
    <w:rsid w:val="2A1E0BC4"/>
    <w:rsid w:val="2A281089"/>
    <w:rsid w:val="2A3C529D"/>
    <w:rsid w:val="2A4F56D1"/>
    <w:rsid w:val="2A6E422F"/>
    <w:rsid w:val="2A83660C"/>
    <w:rsid w:val="2ABB3C60"/>
    <w:rsid w:val="2ABE15E9"/>
    <w:rsid w:val="2ACF6DED"/>
    <w:rsid w:val="2AD2197B"/>
    <w:rsid w:val="2AE0128E"/>
    <w:rsid w:val="2AF22639"/>
    <w:rsid w:val="2AF70DED"/>
    <w:rsid w:val="2B1F0622"/>
    <w:rsid w:val="2B3B0F41"/>
    <w:rsid w:val="2B3D4945"/>
    <w:rsid w:val="2B4E474C"/>
    <w:rsid w:val="2B524B37"/>
    <w:rsid w:val="2B525152"/>
    <w:rsid w:val="2B641794"/>
    <w:rsid w:val="2B700DEC"/>
    <w:rsid w:val="2B753660"/>
    <w:rsid w:val="2B78269D"/>
    <w:rsid w:val="2B8822EB"/>
    <w:rsid w:val="2B884512"/>
    <w:rsid w:val="2B8D293E"/>
    <w:rsid w:val="2B8F54F1"/>
    <w:rsid w:val="2B940716"/>
    <w:rsid w:val="2BA013CA"/>
    <w:rsid w:val="2BA35F5B"/>
    <w:rsid w:val="2BBF6668"/>
    <w:rsid w:val="2BC55264"/>
    <w:rsid w:val="2BCB07FC"/>
    <w:rsid w:val="2BD65F2B"/>
    <w:rsid w:val="2BD6653C"/>
    <w:rsid w:val="2BE86B71"/>
    <w:rsid w:val="2BF264D4"/>
    <w:rsid w:val="2BFD3078"/>
    <w:rsid w:val="2BFF41B8"/>
    <w:rsid w:val="2C0931B7"/>
    <w:rsid w:val="2C2121DD"/>
    <w:rsid w:val="2C224AA6"/>
    <w:rsid w:val="2C2B2B47"/>
    <w:rsid w:val="2C3E733A"/>
    <w:rsid w:val="2C433276"/>
    <w:rsid w:val="2C45420E"/>
    <w:rsid w:val="2C460B96"/>
    <w:rsid w:val="2C4A464F"/>
    <w:rsid w:val="2C524596"/>
    <w:rsid w:val="2C734F3F"/>
    <w:rsid w:val="2C862454"/>
    <w:rsid w:val="2C875E27"/>
    <w:rsid w:val="2C8F2CF8"/>
    <w:rsid w:val="2C9D0136"/>
    <w:rsid w:val="2CAE7BDF"/>
    <w:rsid w:val="2CBB5FAF"/>
    <w:rsid w:val="2CC600C1"/>
    <w:rsid w:val="2CC81319"/>
    <w:rsid w:val="2CD6687E"/>
    <w:rsid w:val="2CD74283"/>
    <w:rsid w:val="2CE242D0"/>
    <w:rsid w:val="2CE3039B"/>
    <w:rsid w:val="2CE669B1"/>
    <w:rsid w:val="2CE80B65"/>
    <w:rsid w:val="2CED0D82"/>
    <w:rsid w:val="2CED4514"/>
    <w:rsid w:val="2CFE27F4"/>
    <w:rsid w:val="2D161700"/>
    <w:rsid w:val="2D310F8D"/>
    <w:rsid w:val="2D493732"/>
    <w:rsid w:val="2D5E282F"/>
    <w:rsid w:val="2D6A3865"/>
    <w:rsid w:val="2D6E18A0"/>
    <w:rsid w:val="2D711A0E"/>
    <w:rsid w:val="2D864EA1"/>
    <w:rsid w:val="2D887787"/>
    <w:rsid w:val="2D9A4DDD"/>
    <w:rsid w:val="2D9E7C09"/>
    <w:rsid w:val="2DA06A28"/>
    <w:rsid w:val="2DAC1DEE"/>
    <w:rsid w:val="2DAD356C"/>
    <w:rsid w:val="2DBE357C"/>
    <w:rsid w:val="2DCF7816"/>
    <w:rsid w:val="2DEF37A4"/>
    <w:rsid w:val="2DFD2C7E"/>
    <w:rsid w:val="2E055192"/>
    <w:rsid w:val="2E0A4232"/>
    <w:rsid w:val="2E187EF7"/>
    <w:rsid w:val="2E1F696B"/>
    <w:rsid w:val="2E3E7001"/>
    <w:rsid w:val="2E431FB0"/>
    <w:rsid w:val="2E4A229F"/>
    <w:rsid w:val="2E4C2F60"/>
    <w:rsid w:val="2E5E2158"/>
    <w:rsid w:val="2E5E28F7"/>
    <w:rsid w:val="2E6F7A40"/>
    <w:rsid w:val="2E731F8D"/>
    <w:rsid w:val="2E7B5D7E"/>
    <w:rsid w:val="2EA85D99"/>
    <w:rsid w:val="2EAF2F27"/>
    <w:rsid w:val="2EBA34A5"/>
    <w:rsid w:val="2EBD67E3"/>
    <w:rsid w:val="2EC064EB"/>
    <w:rsid w:val="2ED37D70"/>
    <w:rsid w:val="2ED66908"/>
    <w:rsid w:val="2EDB238C"/>
    <w:rsid w:val="2EE77CC1"/>
    <w:rsid w:val="2EF276C0"/>
    <w:rsid w:val="2EFA2F3B"/>
    <w:rsid w:val="2F0F56EE"/>
    <w:rsid w:val="2F15249E"/>
    <w:rsid w:val="2F1779D3"/>
    <w:rsid w:val="2F1C3232"/>
    <w:rsid w:val="2F2E20F2"/>
    <w:rsid w:val="2F393463"/>
    <w:rsid w:val="2F3979EC"/>
    <w:rsid w:val="2F4E31A0"/>
    <w:rsid w:val="2F646B4A"/>
    <w:rsid w:val="2F701EB6"/>
    <w:rsid w:val="2F710EAF"/>
    <w:rsid w:val="2F883C93"/>
    <w:rsid w:val="2F887C64"/>
    <w:rsid w:val="2F99621C"/>
    <w:rsid w:val="2FA050C7"/>
    <w:rsid w:val="2FA11679"/>
    <w:rsid w:val="2FA91C44"/>
    <w:rsid w:val="2FAF0B54"/>
    <w:rsid w:val="2FBB6A6D"/>
    <w:rsid w:val="2FC476CF"/>
    <w:rsid w:val="2FD33A83"/>
    <w:rsid w:val="2FD40302"/>
    <w:rsid w:val="2FDC044E"/>
    <w:rsid w:val="2FFD3DF5"/>
    <w:rsid w:val="302043FF"/>
    <w:rsid w:val="30333516"/>
    <w:rsid w:val="303F29A2"/>
    <w:rsid w:val="305644EE"/>
    <w:rsid w:val="305F6713"/>
    <w:rsid w:val="30616A03"/>
    <w:rsid w:val="306A6EE4"/>
    <w:rsid w:val="306C1228"/>
    <w:rsid w:val="30770055"/>
    <w:rsid w:val="30834B76"/>
    <w:rsid w:val="30992BE4"/>
    <w:rsid w:val="30A9553B"/>
    <w:rsid w:val="30B67781"/>
    <w:rsid w:val="30BF4404"/>
    <w:rsid w:val="30C0482C"/>
    <w:rsid w:val="30CC49B4"/>
    <w:rsid w:val="30DA68EE"/>
    <w:rsid w:val="30EE59B9"/>
    <w:rsid w:val="312924F2"/>
    <w:rsid w:val="313E3BE1"/>
    <w:rsid w:val="314109F8"/>
    <w:rsid w:val="314656C2"/>
    <w:rsid w:val="31535506"/>
    <w:rsid w:val="315E3726"/>
    <w:rsid w:val="315F1A30"/>
    <w:rsid w:val="316669E1"/>
    <w:rsid w:val="316B14AB"/>
    <w:rsid w:val="3171574D"/>
    <w:rsid w:val="318454BB"/>
    <w:rsid w:val="31901D9E"/>
    <w:rsid w:val="31AF5E9A"/>
    <w:rsid w:val="31C10AC7"/>
    <w:rsid w:val="31C667A5"/>
    <w:rsid w:val="31D53B8C"/>
    <w:rsid w:val="31D908ED"/>
    <w:rsid w:val="31DF6AE0"/>
    <w:rsid w:val="31E661D4"/>
    <w:rsid w:val="32024608"/>
    <w:rsid w:val="32096A0A"/>
    <w:rsid w:val="32190043"/>
    <w:rsid w:val="32220BD9"/>
    <w:rsid w:val="322E02B3"/>
    <w:rsid w:val="32314D99"/>
    <w:rsid w:val="323F1CB4"/>
    <w:rsid w:val="32404647"/>
    <w:rsid w:val="324155ED"/>
    <w:rsid w:val="3243783E"/>
    <w:rsid w:val="324A309C"/>
    <w:rsid w:val="32972608"/>
    <w:rsid w:val="329F4591"/>
    <w:rsid w:val="32AE125E"/>
    <w:rsid w:val="32AF67F4"/>
    <w:rsid w:val="32B6517B"/>
    <w:rsid w:val="32B8134D"/>
    <w:rsid w:val="32D6222F"/>
    <w:rsid w:val="32EC509E"/>
    <w:rsid w:val="32F76F4A"/>
    <w:rsid w:val="33037919"/>
    <w:rsid w:val="330A7C30"/>
    <w:rsid w:val="332276AF"/>
    <w:rsid w:val="332E01FC"/>
    <w:rsid w:val="33521411"/>
    <w:rsid w:val="336657D4"/>
    <w:rsid w:val="336C5928"/>
    <w:rsid w:val="33795DC2"/>
    <w:rsid w:val="33890FFD"/>
    <w:rsid w:val="339C4FA8"/>
    <w:rsid w:val="339E590E"/>
    <w:rsid w:val="33A4169A"/>
    <w:rsid w:val="33BA1C03"/>
    <w:rsid w:val="33C10A84"/>
    <w:rsid w:val="33D83287"/>
    <w:rsid w:val="33F124E7"/>
    <w:rsid w:val="33FB321F"/>
    <w:rsid w:val="340478E2"/>
    <w:rsid w:val="340724AD"/>
    <w:rsid w:val="34072664"/>
    <w:rsid w:val="340B015B"/>
    <w:rsid w:val="341D16E8"/>
    <w:rsid w:val="34225748"/>
    <w:rsid w:val="34243A2E"/>
    <w:rsid w:val="3433408E"/>
    <w:rsid w:val="343C2A05"/>
    <w:rsid w:val="345B563A"/>
    <w:rsid w:val="345C2602"/>
    <w:rsid w:val="348B3DAC"/>
    <w:rsid w:val="348D74F4"/>
    <w:rsid w:val="34955286"/>
    <w:rsid w:val="349D4B32"/>
    <w:rsid w:val="34AC3B1A"/>
    <w:rsid w:val="34B01D86"/>
    <w:rsid w:val="34B4746E"/>
    <w:rsid w:val="34C40314"/>
    <w:rsid w:val="34CD4B47"/>
    <w:rsid w:val="34D17240"/>
    <w:rsid w:val="34E27ABE"/>
    <w:rsid w:val="34F55AF9"/>
    <w:rsid w:val="35197E59"/>
    <w:rsid w:val="351F058B"/>
    <w:rsid w:val="352231F2"/>
    <w:rsid w:val="35511E13"/>
    <w:rsid w:val="3557306A"/>
    <w:rsid w:val="35615AA7"/>
    <w:rsid w:val="356177B0"/>
    <w:rsid w:val="356F171C"/>
    <w:rsid w:val="359101E2"/>
    <w:rsid w:val="3592217E"/>
    <w:rsid w:val="3599702D"/>
    <w:rsid w:val="359B4D0E"/>
    <w:rsid w:val="35A030D0"/>
    <w:rsid w:val="35B55B21"/>
    <w:rsid w:val="35BA5724"/>
    <w:rsid w:val="35DE7AE6"/>
    <w:rsid w:val="35EF781D"/>
    <w:rsid w:val="36046AFD"/>
    <w:rsid w:val="361F0A9D"/>
    <w:rsid w:val="3627211E"/>
    <w:rsid w:val="3630377A"/>
    <w:rsid w:val="36467EF5"/>
    <w:rsid w:val="36646C3A"/>
    <w:rsid w:val="366A4480"/>
    <w:rsid w:val="367807E3"/>
    <w:rsid w:val="36862F72"/>
    <w:rsid w:val="36945346"/>
    <w:rsid w:val="36AC48C4"/>
    <w:rsid w:val="36AE1C73"/>
    <w:rsid w:val="36CE175D"/>
    <w:rsid w:val="36E24316"/>
    <w:rsid w:val="36EA19CF"/>
    <w:rsid w:val="36EB0948"/>
    <w:rsid w:val="37190104"/>
    <w:rsid w:val="37462E1A"/>
    <w:rsid w:val="3752226D"/>
    <w:rsid w:val="3798769A"/>
    <w:rsid w:val="37AD3CFF"/>
    <w:rsid w:val="37BD7DCF"/>
    <w:rsid w:val="37C9062C"/>
    <w:rsid w:val="37CA3476"/>
    <w:rsid w:val="37D63DD7"/>
    <w:rsid w:val="37E31EA2"/>
    <w:rsid w:val="37EF6482"/>
    <w:rsid w:val="37F00864"/>
    <w:rsid w:val="380225A6"/>
    <w:rsid w:val="38196138"/>
    <w:rsid w:val="38275B54"/>
    <w:rsid w:val="382C3680"/>
    <w:rsid w:val="382D16F1"/>
    <w:rsid w:val="382D549B"/>
    <w:rsid w:val="38373F4C"/>
    <w:rsid w:val="384C28AF"/>
    <w:rsid w:val="385946C8"/>
    <w:rsid w:val="385C09D2"/>
    <w:rsid w:val="38697084"/>
    <w:rsid w:val="388B3D40"/>
    <w:rsid w:val="38A72786"/>
    <w:rsid w:val="38E50AE0"/>
    <w:rsid w:val="38E87AB0"/>
    <w:rsid w:val="390578C8"/>
    <w:rsid w:val="390C7351"/>
    <w:rsid w:val="391056EE"/>
    <w:rsid w:val="39163283"/>
    <w:rsid w:val="391B62EC"/>
    <w:rsid w:val="39434592"/>
    <w:rsid w:val="39442BA8"/>
    <w:rsid w:val="39446FA7"/>
    <w:rsid w:val="39496EFE"/>
    <w:rsid w:val="39651A10"/>
    <w:rsid w:val="396768B1"/>
    <w:rsid w:val="39702A75"/>
    <w:rsid w:val="39803F75"/>
    <w:rsid w:val="399E255E"/>
    <w:rsid w:val="39AE4FA7"/>
    <w:rsid w:val="39B2731B"/>
    <w:rsid w:val="39C25488"/>
    <w:rsid w:val="39D63377"/>
    <w:rsid w:val="39E80FBD"/>
    <w:rsid w:val="39F12704"/>
    <w:rsid w:val="39FA00F0"/>
    <w:rsid w:val="39FF691E"/>
    <w:rsid w:val="3A0578FE"/>
    <w:rsid w:val="3A121434"/>
    <w:rsid w:val="3A124197"/>
    <w:rsid w:val="3A235643"/>
    <w:rsid w:val="3A3D6168"/>
    <w:rsid w:val="3A4A71F7"/>
    <w:rsid w:val="3A613A51"/>
    <w:rsid w:val="3A7E152F"/>
    <w:rsid w:val="3A8259A8"/>
    <w:rsid w:val="3A880844"/>
    <w:rsid w:val="3A9F356A"/>
    <w:rsid w:val="3AA000D6"/>
    <w:rsid w:val="3AB7080A"/>
    <w:rsid w:val="3AB80948"/>
    <w:rsid w:val="3AB92809"/>
    <w:rsid w:val="3ACC7464"/>
    <w:rsid w:val="3AD01505"/>
    <w:rsid w:val="3AF01123"/>
    <w:rsid w:val="3B103520"/>
    <w:rsid w:val="3B250755"/>
    <w:rsid w:val="3B2946F7"/>
    <w:rsid w:val="3B2C172F"/>
    <w:rsid w:val="3B3D0BBB"/>
    <w:rsid w:val="3B6157A7"/>
    <w:rsid w:val="3B6946AD"/>
    <w:rsid w:val="3B6F6CE6"/>
    <w:rsid w:val="3B7223F0"/>
    <w:rsid w:val="3B7F3066"/>
    <w:rsid w:val="3B985735"/>
    <w:rsid w:val="3B995207"/>
    <w:rsid w:val="3B9E40FE"/>
    <w:rsid w:val="3BA43C10"/>
    <w:rsid w:val="3BA56143"/>
    <w:rsid w:val="3BA90D58"/>
    <w:rsid w:val="3BBE4E7C"/>
    <w:rsid w:val="3BC4114A"/>
    <w:rsid w:val="3BD05654"/>
    <w:rsid w:val="3BD93FB0"/>
    <w:rsid w:val="3BE464E7"/>
    <w:rsid w:val="3BED60C8"/>
    <w:rsid w:val="3BF179B6"/>
    <w:rsid w:val="3BF22971"/>
    <w:rsid w:val="3C1B68AB"/>
    <w:rsid w:val="3C28565A"/>
    <w:rsid w:val="3C4469DA"/>
    <w:rsid w:val="3C517045"/>
    <w:rsid w:val="3C520509"/>
    <w:rsid w:val="3C5A172F"/>
    <w:rsid w:val="3C697772"/>
    <w:rsid w:val="3C7851C7"/>
    <w:rsid w:val="3C7F5053"/>
    <w:rsid w:val="3C8550DC"/>
    <w:rsid w:val="3C937D18"/>
    <w:rsid w:val="3C97365E"/>
    <w:rsid w:val="3C9A3048"/>
    <w:rsid w:val="3CA85008"/>
    <w:rsid w:val="3CB22258"/>
    <w:rsid w:val="3CBB43BE"/>
    <w:rsid w:val="3CD039BF"/>
    <w:rsid w:val="3CD9412C"/>
    <w:rsid w:val="3CE66EE3"/>
    <w:rsid w:val="3CF43C2D"/>
    <w:rsid w:val="3D125855"/>
    <w:rsid w:val="3D145E56"/>
    <w:rsid w:val="3D3A43AE"/>
    <w:rsid w:val="3D535990"/>
    <w:rsid w:val="3D6506A6"/>
    <w:rsid w:val="3D8613DA"/>
    <w:rsid w:val="3DC35867"/>
    <w:rsid w:val="3DCB16FE"/>
    <w:rsid w:val="3DE3566C"/>
    <w:rsid w:val="3DE85120"/>
    <w:rsid w:val="3DEA7FFA"/>
    <w:rsid w:val="3DEE4B03"/>
    <w:rsid w:val="3E000DD7"/>
    <w:rsid w:val="3E1B49B8"/>
    <w:rsid w:val="3E1C3896"/>
    <w:rsid w:val="3E216C43"/>
    <w:rsid w:val="3E240057"/>
    <w:rsid w:val="3E3033F6"/>
    <w:rsid w:val="3E310377"/>
    <w:rsid w:val="3E41229E"/>
    <w:rsid w:val="3E4462FF"/>
    <w:rsid w:val="3E44652E"/>
    <w:rsid w:val="3E4717CF"/>
    <w:rsid w:val="3E4B0808"/>
    <w:rsid w:val="3E527BC4"/>
    <w:rsid w:val="3E61005F"/>
    <w:rsid w:val="3E620298"/>
    <w:rsid w:val="3E7F3E2D"/>
    <w:rsid w:val="3E836481"/>
    <w:rsid w:val="3E92470E"/>
    <w:rsid w:val="3EA54DDA"/>
    <w:rsid w:val="3EAA7EB5"/>
    <w:rsid w:val="3EAD5845"/>
    <w:rsid w:val="3EB0636E"/>
    <w:rsid w:val="3EB834E6"/>
    <w:rsid w:val="3ED23AF6"/>
    <w:rsid w:val="3EE5681A"/>
    <w:rsid w:val="3EE92E2D"/>
    <w:rsid w:val="3EEC0393"/>
    <w:rsid w:val="3F165FA3"/>
    <w:rsid w:val="3F3F5A93"/>
    <w:rsid w:val="3F74317A"/>
    <w:rsid w:val="3F9474F8"/>
    <w:rsid w:val="3FBC1942"/>
    <w:rsid w:val="3FBC7E7E"/>
    <w:rsid w:val="3FCF1C9E"/>
    <w:rsid w:val="3FD13D3E"/>
    <w:rsid w:val="3FEA25BB"/>
    <w:rsid w:val="3FEC1AE5"/>
    <w:rsid w:val="3FED1DC9"/>
    <w:rsid w:val="3FF03420"/>
    <w:rsid w:val="3FF524B9"/>
    <w:rsid w:val="40021990"/>
    <w:rsid w:val="400F41ED"/>
    <w:rsid w:val="402C3C85"/>
    <w:rsid w:val="4039083D"/>
    <w:rsid w:val="404E5236"/>
    <w:rsid w:val="40500019"/>
    <w:rsid w:val="4050101C"/>
    <w:rsid w:val="40546C23"/>
    <w:rsid w:val="40623ABE"/>
    <w:rsid w:val="40634629"/>
    <w:rsid w:val="40641774"/>
    <w:rsid w:val="4065041E"/>
    <w:rsid w:val="406B4636"/>
    <w:rsid w:val="406D3AAB"/>
    <w:rsid w:val="40934FFC"/>
    <w:rsid w:val="409D6697"/>
    <w:rsid w:val="40A0548C"/>
    <w:rsid w:val="40A672F5"/>
    <w:rsid w:val="40B90272"/>
    <w:rsid w:val="40BA2B9F"/>
    <w:rsid w:val="40C5576E"/>
    <w:rsid w:val="40C81F60"/>
    <w:rsid w:val="40DB6FC5"/>
    <w:rsid w:val="40DF12A7"/>
    <w:rsid w:val="40E103E7"/>
    <w:rsid w:val="40E27ECC"/>
    <w:rsid w:val="40E43DB7"/>
    <w:rsid w:val="40F564CB"/>
    <w:rsid w:val="41120595"/>
    <w:rsid w:val="41140659"/>
    <w:rsid w:val="411963C7"/>
    <w:rsid w:val="412B02EA"/>
    <w:rsid w:val="414B1810"/>
    <w:rsid w:val="41604165"/>
    <w:rsid w:val="41644470"/>
    <w:rsid w:val="416643C6"/>
    <w:rsid w:val="41691C25"/>
    <w:rsid w:val="416A61C7"/>
    <w:rsid w:val="416B00B7"/>
    <w:rsid w:val="417967FB"/>
    <w:rsid w:val="417D3306"/>
    <w:rsid w:val="418A2346"/>
    <w:rsid w:val="419064CE"/>
    <w:rsid w:val="41912181"/>
    <w:rsid w:val="41B51CC3"/>
    <w:rsid w:val="41B960FA"/>
    <w:rsid w:val="41C15B3A"/>
    <w:rsid w:val="41C20639"/>
    <w:rsid w:val="41C82E54"/>
    <w:rsid w:val="41F17132"/>
    <w:rsid w:val="41FB3AB5"/>
    <w:rsid w:val="421F0186"/>
    <w:rsid w:val="42236802"/>
    <w:rsid w:val="422D1DF9"/>
    <w:rsid w:val="422E33E6"/>
    <w:rsid w:val="424009E0"/>
    <w:rsid w:val="4244065C"/>
    <w:rsid w:val="4252505D"/>
    <w:rsid w:val="425411B1"/>
    <w:rsid w:val="42555608"/>
    <w:rsid w:val="42675447"/>
    <w:rsid w:val="42681821"/>
    <w:rsid w:val="426B0366"/>
    <w:rsid w:val="427A4906"/>
    <w:rsid w:val="428C518F"/>
    <w:rsid w:val="42996EDB"/>
    <w:rsid w:val="42A2520E"/>
    <w:rsid w:val="42A44EED"/>
    <w:rsid w:val="42B437C9"/>
    <w:rsid w:val="42BE58D0"/>
    <w:rsid w:val="42C22E33"/>
    <w:rsid w:val="42D523EB"/>
    <w:rsid w:val="42E82AAD"/>
    <w:rsid w:val="42EE2C28"/>
    <w:rsid w:val="42F40072"/>
    <w:rsid w:val="42F65098"/>
    <w:rsid w:val="430263F8"/>
    <w:rsid w:val="4311542C"/>
    <w:rsid w:val="433A6131"/>
    <w:rsid w:val="433E1E30"/>
    <w:rsid w:val="434351C1"/>
    <w:rsid w:val="4352272D"/>
    <w:rsid w:val="435A31D9"/>
    <w:rsid w:val="435F5909"/>
    <w:rsid w:val="4369474B"/>
    <w:rsid w:val="43756847"/>
    <w:rsid w:val="43A24B8D"/>
    <w:rsid w:val="43CB3BB3"/>
    <w:rsid w:val="43D574E4"/>
    <w:rsid w:val="43DC74C7"/>
    <w:rsid w:val="43DD2F36"/>
    <w:rsid w:val="43E6673A"/>
    <w:rsid w:val="43E7163B"/>
    <w:rsid w:val="44047877"/>
    <w:rsid w:val="44076C6E"/>
    <w:rsid w:val="440A668A"/>
    <w:rsid w:val="440C02BB"/>
    <w:rsid w:val="44161D91"/>
    <w:rsid w:val="44463BE9"/>
    <w:rsid w:val="444F68D7"/>
    <w:rsid w:val="44600178"/>
    <w:rsid w:val="44711945"/>
    <w:rsid w:val="44754D8B"/>
    <w:rsid w:val="447A6950"/>
    <w:rsid w:val="447C395A"/>
    <w:rsid w:val="44806A72"/>
    <w:rsid w:val="448357A5"/>
    <w:rsid w:val="449146B9"/>
    <w:rsid w:val="449848B2"/>
    <w:rsid w:val="449F77AE"/>
    <w:rsid w:val="44A01C72"/>
    <w:rsid w:val="44A56092"/>
    <w:rsid w:val="44AB5C35"/>
    <w:rsid w:val="44AC2A70"/>
    <w:rsid w:val="44AE1F9B"/>
    <w:rsid w:val="44BB2EEE"/>
    <w:rsid w:val="44C11A27"/>
    <w:rsid w:val="44C4191E"/>
    <w:rsid w:val="44CD721F"/>
    <w:rsid w:val="44DD2B80"/>
    <w:rsid w:val="44E003FF"/>
    <w:rsid w:val="44E96560"/>
    <w:rsid w:val="44F54A61"/>
    <w:rsid w:val="44F944A7"/>
    <w:rsid w:val="450A09AB"/>
    <w:rsid w:val="452238B7"/>
    <w:rsid w:val="45242DBD"/>
    <w:rsid w:val="4528381B"/>
    <w:rsid w:val="453656AE"/>
    <w:rsid w:val="453B345C"/>
    <w:rsid w:val="45404AC2"/>
    <w:rsid w:val="454242EC"/>
    <w:rsid w:val="4548154D"/>
    <w:rsid w:val="45576787"/>
    <w:rsid w:val="45614CAD"/>
    <w:rsid w:val="456E2174"/>
    <w:rsid w:val="45AB138E"/>
    <w:rsid w:val="45AD5DA8"/>
    <w:rsid w:val="45B30119"/>
    <w:rsid w:val="45B5657A"/>
    <w:rsid w:val="45BF43EE"/>
    <w:rsid w:val="45C16B20"/>
    <w:rsid w:val="45F11CEC"/>
    <w:rsid w:val="45F27ACD"/>
    <w:rsid w:val="4600353F"/>
    <w:rsid w:val="46045F4D"/>
    <w:rsid w:val="460929D5"/>
    <w:rsid w:val="4611740A"/>
    <w:rsid w:val="46134E2F"/>
    <w:rsid w:val="461501B0"/>
    <w:rsid w:val="461C4906"/>
    <w:rsid w:val="462608D6"/>
    <w:rsid w:val="462E2C27"/>
    <w:rsid w:val="463B639B"/>
    <w:rsid w:val="464064A5"/>
    <w:rsid w:val="46431E0C"/>
    <w:rsid w:val="46436A3D"/>
    <w:rsid w:val="46442980"/>
    <w:rsid w:val="46456BEF"/>
    <w:rsid w:val="46601D46"/>
    <w:rsid w:val="4667336B"/>
    <w:rsid w:val="466D7A86"/>
    <w:rsid w:val="467938A1"/>
    <w:rsid w:val="467D51BF"/>
    <w:rsid w:val="468E64AA"/>
    <w:rsid w:val="46B05F73"/>
    <w:rsid w:val="46B64624"/>
    <w:rsid w:val="46C56F0B"/>
    <w:rsid w:val="46C56FB0"/>
    <w:rsid w:val="46C621EB"/>
    <w:rsid w:val="46C97310"/>
    <w:rsid w:val="46CA241A"/>
    <w:rsid w:val="46CA7F43"/>
    <w:rsid w:val="46CB58FD"/>
    <w:rsid w:val="46F266D4"/>
    <w:rsid w:val="4711502B"/>
    <w:rsid w:val="471474F7"/>
    <w:rsid w:val="47171F59"/>
    <w:rsid w:val="471731C6"/>
    <w:rsid w:val="47204C4E"/>
    <w:rsid w:val="473863DE"/>
    <w:rsid w:val="47403644"/>
    <w:rsid w:val="47623842"/>
    <w:rsid w:val="476E6D81"/>
    <w:rsid w:val="47703009"/>
    <w:rsid w:val="477473C5"/>
    <w:rsid w:val="477637EB"/>
    <w:rsid w:val="4785120F"/>
    <w:rsid w:val="478E4ED1"/>
    <w:rsid w:val="4790214F"/>
    <w:rsid w:val="479E7D58"/>
    <w:rsid w:val="47A14FB0"/>
    <w:rsid w:val="47A35300"/>
    <w:rsid w:val="47A47D71"/>
    <w:rsid w:val="47AA4597"/>
    <w:rsid w:val="47AA6DF6"/>
    <w:rsid w:val="47AB4581"/>
    <w:rsid w:val="47C446C2"/>
    <w:rsid w:val="47C95487"/>
    <w:rsid w:val="47CA68CC"/>
    <w:rsid w:val="47E24895"/>
    <w:rsid w:val="47E51C77"/>
    <w:rsid w:val="47FA3A39"/>
    <w:rsid w:val="48056972"/>
    <w:rsid w:val="480D0782"/>
    <w:rsid w:val="481C1265"/>
    <w:rsid w:val="48305C80"/>
    <w:rsid w:val="484D58E5"/>
    <w:rsid w:val="48572FD4"/>
    <w:rsid w:val="485D2E03"/>
    <w:rsid w:val="485E5233"/>
    <w:rsid w:val="486558D3"/>
    <w:rsid w:val="48676A47"/>
    <w:rsid w:val="486B24EB"/>
    <w:rsid w:val="487B7141"/>
    <w:rsid w:val="487C1F14"/>
    <w:rsid w:val="487D5E0F"/>
    <w:rsid w:val="488943CE"/>
    <w:rsid w:val="489D3E2F"/>
    <w:rsid w:val="48A17737"/>
    <w:rsid w:val="48A75696"/>
    <w:rsid w:val="48AE60C5"/>
    <w:rsid w:val="48B5101E"/>
    <w:rsid w:val="48B74A3D"/>
    <w:rsid w:val="48CC05CF"/>
    <w:rsid w:val="48DC15E1"/>
    <w:rsid w:val="48E176BB"/>
    <w:rsid w:val="490C5106"/>
    <w:rsid w:val="491A35ED"/>
    <w:rsid w:val="491C1798"/>
    <w:rsid w:val="49212E08"/>
    <w:rsid w:val="49220E59"/>
    <w:rsid w:val="49267001"/>
    <w:rsid w:val="492839F7"/>
    <w:rsid w:val="49376EB0"/>
    <w:rsid w:val="49420089"/>
    <w:rsid w:val="495156E5"/>
    <w:rsid w:val="49516E71"/>
    <w:rsid w:val="4955727F"/>
    <w:rsid w:val="4965160F"/>
    <w:rsid w:val="496A5DB6"/>
    <w:rsid w:val="498951CB"/>
    <w:rsid w:val="49AD167C"/>
    <w:rsid w:val="49B26E9F"/>
    <w:rsid w:val="49BE3582"/>
    <w:rsid w:val="49C356BF"/>
    <w:rsid w:val="49CA6229"/>
    <w:rsid w:val="49D0616A"/>
    <w:rsid w:val="49E35075"/>
    <w:rsid w:val="49EC78BE"/>
    <w:rsid w:val="4A0022DE"/>
    <w:rsid w:val="4A027B3A"/>
    <w:rsid w:val="4A111757"/>
    <w:rsid w:val="4A1E1214"/>
    <w:rsid w:val="4A317906"/>
    <w:rsid w:val="4A345BAE"/>
    <w:rsid w:val="4A3651D9"/>
    <w:rsid w:val="4A49220F"/>
    <w:rsid w:val="4A4F3EEC"/>
    <w:rsid w:val="4A5F4EF1"/>
    <w:rsid w:val="4A614409"/>
    <w:rsid w:val="4A8E2E17"/>
    <w:rsid w:val="4A90788A"/>
    <w:rsid w:val="4AAC3EFE"/>
    <w:rsid w:val="4AB55DCE"/>
    <w:rsid w:val="4ABA1C8A"/>
    <w:rsid w:val="4AE11854"/>
    <w:rsid w:val="4AE648AB"/>
    <w:rsid w:val="4AE94A09"/>
    <w:rsid w:val="4AF01DFC"/>
    <w:rsid w:val="4AF47048"/>
    <w:rsid w:val="4AF65C5F"/>
    <w:rsid w:val="4AFB0069"/>
    <w:rsid w:val="4B1874CE"/>
    <w:rsid w:val="4B1A5F1B"/>
    <w:rsid w:val="4B280069"/>
    <w:rsid w:val="4B343654"/>
    <w:rsid w:val="4B5075A3"/>
    <w:rsid w:val="4B5E7546"/>
    <w:rsid w:val="4B6B70E2"/>
    <w:rsid w:val="4B6D2183"/>
    <w:rsid w:val="4B825913"/>
    <w:rsid w:val="4B9A331D"/>
    <w:rsid w:val="4BB17BDD"/>
    <w:rsid w:val="4BB80541"/>
    <w:rsid w:val="4BC37F74"/>
    <w:rsid w:val="4BD55CA3"/>
    <w:rsid w:val="4BEA5A9C"/>
    <w:rsid w:val="4C0624C3"/>
    <w:rsid w:val="4C404520"/>
    <w:rsid w:val="4C4E1841"/>
    <w:rsid w:val="4C5F6437"/>
    <w:rsid w:val="4C685599"/>
    <w:rsid w:val="4C6A12EF"/>
    <w:rsid w:val="4C867C0E"/>
    <w:rsid w:val="4C91677E"/>
    <w:rsid w:val="4CA27F72"/>
    <w:rsid w:val="4CA86A5E"/>
    <w:rsid w:val="4CAF6B07"/>
    <w:rsid w:val="4CB11BA3"/>
    <w:rsid w:val="4CB2430B"/>
    <w:rsid w:val="4CB80B42"/>
    <w:rsid w:val="4CC13E4B"/>
    <w:rsid w:val="4CCA77C4"/>
    <w:rsid w:val="4CCC67A7"/>
    <w:rsid w:val="4CCD51B6"/>
    <w:rsid w:val="4CD5554B"/>
    <w:rsid w:val="4CD55E38"/>
    <w:rsid w:val="4CE76F98"/>
    <w:rsid w:val="4CF03F96"/>
    <w:rsid w:val="4CF1507D"/>
    <w:rsid w:val="4CF22265"/>
    <w:rsid w:val="4CFB38EB"/>
    <w:rsid w:val="4D0C2361"/>
    <w:rsid w:val="4D0C24B1"/>
    <w:rsid w:val="4D1435C0"/>
    <w:rsid w:val="4D1828F3"/>
    <w:rsid w:val="4D304CB3"/>
    <w:rsid w:val="4D3C7069"/>
    <w:rsid w:val="4D450DD1"/>
    <w:rsid w:val="4D48354C"/>
    <w:rsid w:val="4D49624D"/>
    <w:rsid w:val="4D50233D"/>
    <w:rsid w:val="4D6320BE"/>
    <w:rsid w:val="4D6C6D05"/>
    <w:rsid w:val="4D6F05B1"/>
    <w:rsid w:val="4D7212B6"/>
    <w:rsid w:val="4D7F166D"/>
    <w:rsid w:val="4D9972F5"/>
    <w:rsid w:val="4DB25A6E"/>
    <w:rsid w:val="4DB762C5"/>
    <w:rsid w:val="4DCB045B"/>
    <w:rsid w:val="4DD9156C"/>
    <w:rsid w:val="4DE7542E"/>
    <w:rsid w:val="4DED5C66"/>
    <w:rsid w:val="4DF00585"/>
    <w:rsid w:val="4DF340A8"/>
    <w:rsid w:val="4E052035"/>
    <w:rsid w:val="4E1D6758"/>
    <w:rsid w:val="4E211ECF"/>
    <w:rsid w:val="4E44451E"/>
    <w:rsid w:val="4E454150"/>
    <w:rsid w:val="4E476192"/>
    <w:rsid w:val="4E4A4262"/>
    <w:rsid w:val="4E565392"/>
    <w:rsid w:val="4E640826"/>
    <w:rsid w:val="4E6A7B58"/>
    <w:rsid w:val="4E7061B6"/>
    <w:rsid w:val="4E711C80"/>
    <w:rsid w:val="4E7D570D"/>
    <w:rsid w:val="4E8F7388"/>
    <w:rsid w:val="4E95169E"/>
    <w:rsid w:val="4E9719B4"/>
    <w:rsid w:val="4E9E6E04"/>
    <w:rsid w:val="4EA60BDE"/>
    <w:rsid w:val="4EA76747"/>
    <w:rsid w:val="4EC6676F"/>
    <w:rsid w:val="4EF734B0"/>
    <w:rsid w:val="4EF86017"/>
    <w:rsid w:val="4EFE5805"/>
    <w:rsid w:val="4F011B00"/>
    <w:rsid w:val="4F017568"/>
    <w:rsid w:val="4F022093"/>
    <w:rsid w:val="4F0320EF"/>
    <w:rsid w:val="4F07587C"/>
    <w:rsid w:val="4F1849DB"/>
    <w:rsid w:val="4F4026E3"/>
    <w:rsid w:val="4F4444CC"/>
    <w:rsid w:val="4F471B98"/>
    <w:rsid w:val="4F494847"/>
    <w:rsid w:val="4F4C59FB"/>
    <w:rsid w:val="4F577278"/>
    <w:rsid w:val="4F65031C"/>
    <w:rsid w:val="4F6A4EF2"/>
    <w:rsid w:val="4F822E20"/>
    <w:rsid w:val="4F930017"/>
    <w:rsid w:val="4FA25044"/>
    <w:rsid w:val="4FA325EE"/>
    <w:rsid w:val="4FA60E6B"/>
    <w:rsid w:val="4FBD1A1E"/>
    <w:rsid w:val="4FBD493C"/>
    <w:rsid w:val="4FCF3096"/>
    <w:rsid w:val="4FD82C78"/>
    <w:rsid w:val="4FE05575"/>
    <w:rsid w:val="4FE213A6"/>
    <w:rsid w:val="4FE901EF"/>
    <w:rsid w:val="4FEB6108"/>
    <w:rsid w:val="4FF35F74"/>
    <w:rsid w:val="4FFD7CFB"/>
    <w:rsid w:val="50045423"/>
    <w:rsid w:val="50065D63"/>
    <w:rsid w:val="500759F2"/>
    <w:rsid w:val="503E478A"/>
    <w:rsid w:val="50530BD0"/>
    <w:rsid w:val="505A5594"/>
    <w:rsid w:val="505F2BF2"/>
    <w:rsid w:val="5080341F"/>
    <w:rsid w:val="509D1C66"/>
    <w:rsid w:val="509F1BCE"/>
    <w:rsid w:val="50AE6037"/>
    <w:rsid w:val="50C53736"/>
    <w:rsid w:val="50C55B1E"/>
    <w:rsid w:val="50D53304"/>
    <w:rsid w:val="50DC307B"/>
    <w:rsid w:val="50E06532"/>
    <w:rsid w:val="50F06B66"/>
    <w:rsid w:val="51001DEF"/>
    <w:rsid w:val="510D5C37"/>
    <w:rsid w:val="5111495F"/>
    <w:rsid w:val="51141A17"/>
    <w:rsid w:val="511B1C2F"/>
    <w:rsid w:val="5122632F"/>
    <w:rsid w:val="51227391"/>
    <w:rsid w:val="512A54E5"/>
    <w:rsid w:val="512C0F6F"/>
    <w:rsid w:val="513900A9"/>
    <w:rsid w:val="514815CD"/>
    <w:rsid w:val="51516077"/>
    <w:rsid w:val="515F16CD"/>
    <w:rsid w:val="51615D26"/>
    <w:rsid w:val="516D7E8C"/>
    <w:rsid w:val="517A2603"/>
    <w:rsid w:val="517B2786"/>
    <w:rsid w:val="51835EBD"/>
    <w:rsid w:val="5196667A"/>
    <w:rsid w:val="51BF68A9"/>
    <w:rsid w:val="51C36020"/>
    <w:rsid w:val="51DD0289"/>
    <w:rsid w:val="51F14353"/>
    <w:rsid w:val="51FC2F69"/>
    <w:rsid w:val="522C77EB"/>
    <w:rsid w:val="524178B6"/>
    <w:rsid w:val="52536B58"/>
    <w:rsid w:val="528076E4"/>
    <w:rsid w:val="5291026A"/>
    <w:rsid w:val="52A0512D"/>
    <w:rsid w:val="52B150A3"/>
    <w:rsid w:val="52B15ABE"/>
    <w:rsid w:val="52C42B19"/>
    <w:rsid w:val="52CF25A0"/>
    <w:rsid w:val="52D724AA"/>
    <w:rsid w:val="52E91385"/>
    <w:rsid w:val="52ED147E"/>
    <w:rsid w:val="53016B6F"/>
    <w:rsid w:val="53181E7A"/>
    <w:rsid w:val="5321190B"/>
    <w:rsid w:val="5326046A"/>
    <w:rsid w:val="533078CC"/>
    <w:rsid w:val="53363A61"/>
    <w:rsid w:val="53366F2B"/>
    <w:rsid w:val="533B59CD"/>
    <w:rsid w:val="53412435"/>
    <w:rsid w:val="535E799C"/>
    <w:rsid w:val="536B6453"/>
    <w:rsid w:val="536C49F9"/>
    <w:rsid w:val="53767F3A"/>
    <w:rsid w:val="53943293"/>
    <w:rsid w:val="539653AC"/>
    <w:rsid w:val="53AC4EBA"/>
    <w:rsid w:val="53B13940"/>
    <w:rsid w:val="53C86F5F"/>
    <w:rsid w:val="53E0485D"/>
    <w:rsid w:val="53EC6763"/>
    <w:rsid w:val="53FD2EF4"/>
    <w:rsid w:val="540426B4"/>
    <w:rsid w:val="541F4EF6"/>
    <w:rsid w:val="542048FC"/>
    <w:rsid w:val="54261D53"/>
    <w:rsid w:val="542D6A44"/>
    <w:rsid w:val="5441284B"/>
    <w:rsid w:val="5450770B"/>
    <w:rsid w:val="547B3271"/>
    <w:rsid w:val="547E6DCD"/>
    <w:rsid w:val="5488791D"/>
    <w:rsid w:val="54935D1D"/>
    <w:rsid w:val="549417A4"/>
    <w:rsid w:val="54AD7DBD"/>
    <w:rsid w:val="54D456BD"/>
    <w:rsid w:val="54EE2ED2"/>
    <w:rsid w:val="54F413A9"/>
    <w:rsid w:val="54F47215"/>
    <w:rsid w:val="54F742E8"/>
    <w:rsid w:val="55030C26"/>
    <w:rsid w:val="550D41F6"/>
    <w:rsid w:val="55122BEC"/>
    <w:rsid w:val="552C4AD4"/>
    <w:rsid w:val="5534791E"/>
    <w:rsid w:val="553B557D"/>
    <w:rsid w:val="55457728"/>
    <w:rsid w:val="5553602C"/>
    <w:rsid w:val="55684337"/>
    <w:rsid w:val="557A4936"/>
    <w:rsid w:val="55916B37"/>
    <w:rsid w:val="559421A0"/>
    <w:rsid w:val="55C31328"/>
    <w:rsid w:val="55C823F7"/>
    <w:rsid w:val="55E31E40"/>
    <w:rsid w:val="55EB2079"/>
    <w:rsid w:val="55F353CD"/>
    <w:rsid w:val="55F911DC"/>
    <w:rsid w:val="56034232"/>
    <w:rsid w:val="56060E68"/>
    <w:rsid w:val="56097B66"/>
    <w:rsid w:val="561119E1"/>
    <w:rsid w:val="561A14C0"/>
    <w:rsid w:val="564020EA"/>
    <w:rsid w:val="5643069A"/>
    <w:rsid w:val="564C1174"/>
    <w:rsid w:val="564D5B7F"/>
    <w:rsid w:val="565C5B10"/>
    <w:rsid w:val="566C13D1"/>
    <w:rsid w:val="567C111A"/>
    <w:rsid w:val="56910F67"/>
    <w:rsid w:val="56B814CD"/>
    <w:rsid w:val="56BA759F"/>
    <w:rsid w:val="56BF0E5D"/>
    <w:rsid w:val="56C30369"/>
    <w:rsid w:val="56C822A6"/>
    <w:rsid w:val="56C91F8F"/>
    <w:rsid w:val="56E015C9"/>
    <w:rsid w:val="56E30711"/>
    <w:rsid w:val="56F038D7"/>
    <w:rsid w:val="56FF2EDB"/>
    <w:rsid w:val="57095B24"/>
    <w:rsid w:val="571D43F0"/>
    <w:rsid w:val="57203CFE"/>
    <w:rsid w:val="573842FC"/>
    <w:rsid w:val="57613D1E"/>
    <w:rsid w:val="576401F7"/>
    <w:rsid w:val="5772378F"/>
    <w:rsid w:val="57902CC7"/>
    <w:rsid w:val="57A15F40"/>
    <w:rsid w:val="57A42010"/>
    <w:rsid w:val="57BE7DFE"/>
    <w:rsid w:val="57C11C90"/>
    <w:rsid w:val="57C37A7E"/>
    <w:rsid w:val="57D0198C"/>
    <w:rsid w:val="57E22778"/>
    <w:rsid w:val="57E2543E"/>
    <w:rsid w:val="57E4417A"/>
    <w:rsid w:val="581E1807"/>
    <w:rsid w:val="582658C1"/>
    <w:rsid w:val="58346C63"/>
    <w:rsid w:val="583738C3"/>
    <w:rsid w:val="583A1911"/>
    <w:rsid w:val="583C4496"/>
    <w:rsid w:val="583D4B32"/>
    <w:rsid w:val="5846461B"/>
    <w:rsid w:val="58642D77"/>
    <w:rsid w:val="587318D9"/>
    <w:rsid w:val="587947B0"/>
    <w:rsid w:val="58880CC1"/>
    <w:rsid w:val="589366AB"/>
    <w:rsid w:val="589961C9"/>
    <w:rsid w:val="589D7DB1"/>
    <w:rsid w:val="58AE7A21"/>
    <w:rsid w:val="58B10AE9"/>
    <w:rsid w:val="58B31E57"/>
    <w:rsid w:val="58C568D9"/>
    <w:rsid w:val="58E11D7F"/>
    <w:rsid w:val="58F206B1"/>
    <w:rsid w:val="590247DA"/>
    <w:rsid w:val="590934F2"/>
    <w:rsid w:val="590A10B4"/>
    <w:rsid w:val="59200CCB"/>
    <w:rsid w:val="5935104F"/>
    <w:rsid w:val="59351697"/>
    <w:rsid w:val="593908FC"/>
    <w:rsid w:val="593C1AD8"/>
    <w:rsid w:val="59497220"/>
    <w:rsid w:val="595E76A3"/>
    <w:rsid w:val="595F142E"/>
    <w:rsid w:val="59755F5F"/>
    <w:rsid w:val="599964D0"/>
    <w:rsid w:val="599C0688"/>
    <w:rsid w:val="59AE3FEC"/>
    <w:rsid w:val="59B14CFF"/>
    <w:rsid w:val="59B54722"/>
    <w:rsid w:val="59C66708"/>
    <w:rsid w:val="59C7107A"/>
    <w:rsid w:val="59C90949"/>
    <w:rsid w:val="59CC4B5D"/>
    <w:rsid w:val="59D52299"/>
    <w:rsid w:val="59DA4848"/>
    <w:rsid w:val="59E54502"/>
    <w:rsid w:val="59E91E6E"/>
    <w:rsid w:val="59EE4A0D"/>
    <w:rsid w:val="59F2001B"/>
    <w:rsid w:val="59FE5473"/>
    <w:rsid w:val="5A013ACF"/>
    <w:rsid w:val="5A1D652A"/>
    <w:rsid w:val="5A262CCA"/>
    <w:rsid w:val="5A263074"/>
    <w:rsid w:val="5A346625"/>
    <w:rsid w:val="5A386259"/>
    <w:rsid w:val="5A3E699C"/>
    <w:rsid w:val="5A5651C7"/>
    <w:rsid w:val="5A613F62"/>
    <w:rsid w:val="5A67539B"/>
    <w:rsid w:val="5A6F08E9"/>
    <w:rsid w:val="5A8F0155"/>
    <w:rsid w:val="5AB216E2"/>
    <w:rsid w:val="5ABE33E0"/>
    <w:rsid w:val="5ACB6ED4"/>
    <w:rsid w:val="5AD12BE9"/>
    <w:rsid w:val="5AD14AFF"/>
    <w:rsid w:val="5AD23DBB"/>
    <w:rsid w:val="5AD91C7C"/>
    <w:rsid w:val="5AE5762A"/>
    <w:rsid w:val="5AF93A25"/>
    <w:rsid w:val="5AFE2D50"/>
    <w:rsid w:val="5AFE79A0"/>
    <w:rsid w:val="5B0017D7"/>
    <w:rsid w:val="5B0D4C8A"/>
    <w:rsid w:val="5B217C71"/>
    <w:rsid w:val="5B2A252E"/>
    <w:rsid w:val="5B3B0A7C"/>
    <w:rsid w:val="5B404F9B"/>
    <w:rsid w:val="5B48145E"/>
    <w:rsid w:val="5B4D1123"/>
    <w:rsid w:val="5B5A7A1D"/>
    <w:rsid w:val="5B5C6CA1"/>
    <w:rsid w:val="5B6010CB"/>
    <w:rsid w:val="5B647213"/>
    <w:rsid w:val="5B667F90"/>
    <w:rsid w:val="5B851718"/>
    <w:rsid w:val="5B927349"/>
    <w:rsid w:val="5B9A439E"/>
    <w:rsid w:val="5BAE22F5"/>
    <w:rsid w:val="5BBB2A88"/>
    <w:rsid w:val="5BDD34C5"/>
    <w:rsid w:val="5BE11453"/>
    <w:rsid w:val="5BE24157"/>
    <w:rsid w:val="5BEE45B2"/>
    <w:rsid w:val="5BFA6FE8"/>
    <w:rsid w:val="5BFD32F8"/>
    <w:rsid w:val="5C022414"/>
    <w:rsid w:val="5C0654B8"/>
    <w:rsid w:val="5C0776EA"/>
    <w:rsid w:val="5C0C5685"/>
    <w:rsid w:val="5C2368F6"/>
    <w:rsid w:val="5C2472E0"/>
    <w:rsid w:val="5C275989"/>
    <w:rsid w:val="5C2B1283"/>
    <w:rsid w:val="5C4C565C"/>
    <w:rsid w:val="5C5055F8"/>
    <w:rsid w:val="5C5B1A14"/>
    <w:rsid w:val="5C7E426D"/>
    <w:rsid w:val="5C8109F1"/>
    <w:rsid w:val="5C86441C"/>
    <w:rsid w:val="5C9D3D7F"/>
    <w:rsid w:val="5CA57CC8"/>
    <w:rsid w:val="5CBD227C"/>
    <w:rsid w:val="5CBF1130"/>
    <w:rsid w:val="5CCD7903"/>
    <w:rsid w:val="5CCE5469"/>
    <w:rsid w:val="5CE83A99"/>
    <w:rsid w:val="5CEC4F99"/>
    <w:rsid w:val="5CF06591"/>
    <w:rsid w:val="5CFC0D18"/>
    <w:rsid w:val="5D054504"/>
    <w:rsid w:val="5D093BE9"/>
    <w:rsid w:val="5D0C1E8A"/>
    <w:rsid w:val="5D0E0ECC"/>
    <w:rsid w:val="5D1A3402"/>
    <w:rsid w:val="5D2A2D96"/>
    <w:rsid w:val="5D2F10BE"/>
    <w:rsid w:val="5D311D9F"/>
    <w:rsid w:val="5D536FFB"/>
    <w:rsid w:val="5D631637"/>
    <w:rsid w:val="5D6C70C3"/>
    <w:rsid w:val="5D7524EC"/>
    <w:rsid w:val="5DA160A7"/>
    <w:rsid w:val="5DB876BB"/>
    <w:rsid w:val="5DD03648"/>
    <w:rsid w:val="5DDF7C85"/>
    <w:rsid w:val="5DE15EF8"/>
    <w:rsid w:val="5DF12330"/>
    <w:rsid w:val="5DF167C4"/>
    <w:rsid w:val="5E0422EE"/>
    <w:rsid w:val="5E0958BD"/>
    <w:rsid w:val="5E0E0EBD"/>
    <w:rsid w:val="5E1F1E36"/>
    <w:rsid w:val="5E2124C8"/>
    <w:rsid w:val="5E2D4705"/>
    <w:rsid w:val="5E30064E"/>
    <w:rsid w:val="5E34400D"/>
    <w:rsid w:val="5E3D4683"/>
    <w:rsid w:val="5E3E0C6D"/>
    <w:rsid w:val="5E5A14A2"/>
    <w:rsid w:val="5E6005EB"/>
    <w:rsid w:val="5E6803FE"/>
    <w:rsid w:val="5E695971"/>
    <w:rsid w:val="5E6B40C9"/>
    <w:rsid w:val="5E7529E1"/>
    <w:rsid w:val="5E885312"/>
    <w:rsid w:val="5EA55034"/>
    <w:rsid w:val="5EA7159D"/>
    <w:rsid w:val="5EA8057A"/>
    <w:rsid w:val="5EB06515"/>
    <w:rsid w:val="5EB43460"/>
    <w:rsid w:val="5EC02D4F"/>
    <w:rsid w:val="5EC22737"/>
    <w:rsid w:val="5EC3760E"/>
    <w:rsid w:val="5ED4240F"/>
    <w:rsid w:val="5EDE6EFC"/>
    <w:rsid w:val="5EF64980"/>
    <w:rsid w:val="5F056F9A"/>
    <w:rsid w:val="5F0C1BB8"/>
    <w:rsid w:val="5F161B88"/>
    <w:rsid w:val="5F2F0277"/>
    <w:rsid w:val="5F34370E"/>
    <w:rsid w:val="5F3F0C90"/>
    <w:rsid w:val="5F42339E"/>
    <w:rsid w:val="5F4A3994"/>
    <w:rsid w:val="5F4A4F49"/>
    <w:rsid w:val="5F4E3DD8"/>
    <w:rsid w:val="5F532CA4"/>
    <w:rsid w:val="5F5A6937"/>
    <w:rsid w:val="5F6D26B3"/>
    <w:rsid w:val="5F7A7F47"/>
    <w:rsid w:val="5F7D6925"/>
    <w:rsid w:val="5F895F96"/>
    <w:rsid w:val="5F8E0FAB"/>
    <w:rsid w:val="5FAD7295"/>
    <w:rsid w:val="5FAF763C"/>
    <w:rsid w:val="5FB57700"/>
    <w:rsid w:val="5FC967A8"/>
    <w:rsid w:val="5FCC6EA2"/>
    <w:rsid w:val="5FD578D3"/>
    <w:rsid w:val="5FD958F9"/>
    <w:rsid w:val="5FE0606C"/>
    <w:rsid w:val="5FE3214E"/>
    <w:rsid w:val="60053935"/>
    <w:rsid w:val="60085278"/>
    <w:rsid w:val="602878A4"/>
    <w:rsid w:val="602D5539"/>
    <w:rsid w:val="602F3798"/>
    <w:rsid w:val="6039310F"/>
    <w:rsid w:val="60431CC4"/>
    <w:rsid w:val="6045544C"/>
    <w:rsid w:val="60544C41"/>
    <w:rsid w:val="605C63AD"/>
    <w:rsid w:val="605F7D48"/>
    <w:rsid w:val="609F4E19"/>
    <w:rsid w:val="60A7145F"/>
    <w:rsid w:val="60B7305E"/>
    <w:rsid w:val="60BF7C89"/>
    <w:rsid w:val="60D470A6"/>
    <w:rsid w:val="60DA7457"/>
    <w:rsid w:val="60DC074D"/>
    <w:rsid w:val="60E00E08"/>
    <w:rsid w:val="60F14CA9"/>
    <w:rsid w:val="60F33441"/>
    <w:rsid w:val="60FD3ED2"/>
    <w:rsid w:val="60FD6026"/>
    <w:rsid w:val="60FF2201"/>
    <w:rsid w:val="611D5F7D"/>
    <w:rsid w:val="61234915"/>
    <w:rsid w:val="61337144"/>
    <w:rsid w:val="613F7CF1"/>
    <w:rsid w:val="615F6DF2"/>
    <w:rsid w:val="61601B91"/>
    <w:rsid w:val="6162745B"/>
    <w:rsid w:val="616F633E"/>
    <w:rsid w:val="617C4A2A"/>
    <w:rsid w:val="617D1B75"/>
    <w:rsid w:val="617F790C"/>
    <w:rsid w:val="61867D32"/>
    <w:rsid w:val="61886026"/>
    <w:rsid w:val="61963273"/>
    <w:rsid w:val="61AE753D"/>
    <w:rsid w:val="61B47857"/>
    <w:rsid w:val="61C42BF2"/>
    <w:rsid w:val="61D1312D"/>
    <w:rsid w:val="61E35FBE"/>
    <w:rsid w:val="6216224B"/>
    <w:rsid w:val="621A5172"/>
    <w:rsid w:val="62203064"/>
    <w:rsid w:val="6226765C"/>
    <w:rsid w:val="62366D3E"/>
    <w:rsid w:val="624524E7"/>
    <w:rsid w:val="624D4186"/>
    <w:rsid w:val="62542F3B"/>
    <w:rsid w:val="625B5352"/>
    <w:rsid w:val="626A0A3D"/>
    <w:rsid w:val="62710C32"/>
    <w:rsid w:val="62863C64"/>
    <w:rsid w:val="6289275D"/>
    <w:rsid w:val="62A3749B"/>
    <w:rsid w:val="62CC5F62"/>
    <w:rsid w:val="62D4636F"/>
    <w:rsid w:val="62E30267"/>
    <w:rsid w:val="62E47BE6"/>
    <w:rsid w:val="62EC2095"/>
    <w:rsid w:val="62F162A3"/>
    <w:rsid w:val="63051B4A"/>
    <w:rsid w:val="630737E7"/>
    <w:rsid w:val="6308708A"/>
    <w:rsid w:val="63177699"/>
    <w:rsid w:val="63204EBB"/>
    <w:rsid w:val="63334290"/>
    <w:rsid w:val="63430B75"/>
    <w:rsid w:val="63445EAB"/>
    <w:rsid w:val="635B3ED5"/>
    <w:rsid w:val="63677730"/>
    <w:rsid w:val="637A5B89"/>
    <w:rsid w:val="6388741F"/>
    <w:rsid w:val="638A2446"/>
    <w:rsid w:val="638D73B9"/>
    <w:rsid w:val="638F3C9C"/>
    <w:rsid w:val="63974B14"/>
    <w:rsid w:val="63A14117"/>
    <w:rsid w:val="63A72C1E"/>
    <w:rsid w:val="63BE5833"/>
    <w:rsid w:val="63E64488"/>
    <w:rsid w:val="63EA7D99"/>
    <w:rsid w:val="63EE575C"/>
    <w:rsid w:val="63F458C7"/>
    <w:rsid w:val="63FF47AC"/>
    <w:rsid w:val="64034717"/>
    <w:rsid w:val="64093BFD"/>
    <w:rsid w:val="640F363B"/>
    <w:rsid w:val="641141A1"/>
    <w:rsid w:val="642C1813"/>
    <w:rsid w:val="642D5EBE"/>
    <w:rsid w:val="64414030"/>
    <w:rsid w:val="644A43CE"/>
    <w:rsid w:val="646C7588"/>
    <w:rsid w:val="64894937"/>
    <w:rsid w:val="64A70F2C"/>
    <w:rsid w:val="64B145E8"/>
    <w:rsid w:val="64BA0C6C"/>
    <w:rsid w:val="64CD4F3B"/>
    <w:rsid w:val="64FA7CA2"/>
    <w:rsid w:val="64FD574D"/>
    <w:rsid w:val="65120F21"/>
    <w:rsid w:val="65224D63"/>
    <w:rsid w:val="652F464E"/>
    <w:rsid w:val="654B09CD"/>
    <w:rsid w:val="655307B4"/>
    <w:rsid w:val="655313A8"/>
    <w:rsid w:val="65626612"/>
    <w:rsid w:val="65670586"/>
    <w:rsid w:val="656E0AF0"/>
    <w:rsid w:val="65813C0D"/>
    <w:rsid w:val="658A4676"/>
    <w:rsid w:val="658A745A"/>
    <w:rsid w:val="65981385"/>
    <w:rsid w:val="65CE5B6B"/>
    <w:rsid w:val="65F41C8C"/>
    <w:rsid w:val="660965E7"/>
    <w:rsid w:val="660C594D"/>
    <w:rsid w:val="661A691F"/>
    <w:rsid w:val="66256498"/>
    <w:rsid w:val="662B3B97"/>
    <w:rsid w:val="662E397C"/>
    <w:rsid w:val="66400F04"/>
    <w:rsid w:val="664277DB"/>
    <w:rsid w:val="66444AB8"/>
    <w:rsid w:val="6652474A"/>
    <w:rsid w:val="66584D97"/>
    <w:rsid w:val="665E66D1"/>
    <w:rsid w:val="665F3B67"/>
    <w:rsid w:val="66692B0D"/>
    <w:rsid w:val="66754C9F"/>
    <w:rsid w:val="6694250A"/>
    <w:rsid w:val="669636A0"/>
    <w:rsid w:val="66A476BA"/>
    <w:rsid w:val="66AB0C45"/>
    <w:rsid w:val="66AC1595"/>
    <w:rsid w:val="66B20453"/>
    <w:rsid w:val="66B94A30"/>
    <w:rsid w:val="66BA3C0F"/>
    <w:rsid w:val="66CE4D3A"/>
    <w:rsid w:val="66DA456D"/>
    <w:rsid w:val="67040BB8"/>
    <w:rsid w:val="67040E41"/>
    <w:rsid w:val="671016B9"/>
    <w:rsid w:val="6748782C"/>
    <w:rsid w:val="67546D66"/>
    <w:rsid w:val="676D5D0B"/>
    <w:rsid w:val="676E087A"/>
    <w:rsid w:val="677054EB"/>
    <w:rsid w:val="67726054"/>
    <w:rsid w:val="677A3410"/>
    <w:rsid w:val="67A408AE"/>
    <w:rsid w:val="67A7328A"/>
    <w:rsid w:val="67B95D17"/>
    <w:rsid w:val="67C11EC2"/>
    <w:rsid w:val="67CB2B94"/>
    <w:rsid w:val="67D47A47"/>
    <w:rsid w:val="67DD3883"/>
    <w:rsid w:val="67DE44CC"/>
    <w:rsid w:val="680B1A28"/>
    <w:rsid w:val="680C5FEC"/>
    <w:rsid w:val="6813516A"/>
    <w:rsid w:val="681605DE"/>
    <w:rsid w:val="681862E4"/>
    <w:rsid w:val="6819014C"/>
    <w:rsid w:val="682524A4"/>
    <w:rsid w:val="68256786"/>
    <w:rsid w:val="68342B2C"/>
    <w:rsid w:val="684504B3"/>
    <w:rsid w:val="685F6E19"/>
    <w:rsid w:val="686F5B2B"/>
    <w:rsid w:val="686F7725"/>
    <w:rsid w:val="688B7063"/>
    <w:rsid w:val="68910A8E"/>
    <w:rsid w:val="689C3014"/>
    <w:rsid w:val="689E6C0E"/>
    <w:rsid w:val="68C1033C"/>
    <w:rsid w:val="68E31654"/>
    <w:rsid w:val="68EB1FF4"/>
    <w:rsid w:val="690B2055"/>
    <w:rsid w:val="691138C0"/>
    <w:rsid w:val="6912089C"/>
    <w:rsid w:val="6913468A"/>
    <w:rsid w:val="69272105"/>
    <w:rsid w:val="695668B8"/>
    <w:rsid w:val="695C41FA"/>
    <w:rsid w:val="697441F7"/>
    <w:rsid w:val="697709AE"/>
    <w:rsid w:val="69827340"/>
    <w:rsid w:val="69AD76B5"/>
    <w:rsid w:val="69BC6BCE"/>
    <w:rsid w:val="69CE35D9"/>
    <w:rsid w:val="69D3275F"/>
    <w:rsid w:val="69D54334"/>
    <w:rsid w:val="69E8260A"/>
    <w:rsid w:val="69F14A79"/>
    <w:rsid w:val="6A013B9B"/>
    <w:rsid w:val="6A1059FD"/>
    <w:rsid w:val="6A1256B8"/>
    <w:rsid w:val="6A181932"/>
    <w:rsid w:val="6A234151"/>
    <w:rsid w:val="6A335A52"/>
    <w:rsid w:val="6A3E50B2"/>
    <w:rsid w:val="6A413098"/>
    <w:rsid w:val="6A5819AD"/>
    <w:rsid w:val="6A6018E4"/>
    <w:rsid w:val="6A687FF0"/>
    <w:rsid w:val="6A6B4071"/>
    <w:rsid w:val="6A6D6981"/>
    <w:rsid w:val="6A7E375F"/>
    <w:rsid w:val="6A885A73"/>
    <w:rsid w:val="6A8B721E"/>
    <w:rsid w:val="6AA2776D"/>
    <w:rsid w:val="6AA91BFB"/>
    <w:rsid w:val="6AA97EDA"/>
    <w:rsid w:val="6AAC0695"/>
    <w:rsid w:val="6AAD52C7"/>
    <w:rsid w:val="6AC14B77"/>
    <w:rsid w:val="6AC20429"/>
    <w:rsid w:val="6AD82B5E"/>
    <w:rsid w:val="6AD9001B"/>
    <w:rsid w:val="6AEE434A"/>
    <w:rsid w:val="6AF13FF6"/>
    <w:rsid w:val="6AFE2679"/>
    <w:rsid w:val="6B0432D0"/>
    <w:rsid w:val="6B0E2725"/>
    <w:rsid w:val="6B192761"/>
    <w:rsid w:val="6B1C5643"/>
    <w:rsid w:val="6B2655F4"/>
    <w:rsid w:val="6B365FCE"/>
    <w:rsid w:val="6B402E8A"/>
    <w:rsid w:val="6B636750"/>
    <w:rsid w:val="6B70373A"/>
    <w:rsid w:val="6B7C4B87"/>
    <w:rsid w:val="6B7F495C"/>
    <w:rsid w:val="6B9F429A"/>
    <w:rsid w:val="6BA25C5D"/>
    <w:rsid w:val="6BA32E78"/>
    <w:rsid w:val="6BB215C2"/>
    <w:rsid w:val="6BBC6A87"/>
    <w:rsid w:val="6C061BF7"/>
    <w:rsid w:val="6C0956AF"/>
    <w:rsid w:val="6C2D03C6"/>
    <w:rsid w:val="6C3D1DE5"/>
    <w:rsid w:val="6C4B5BA5"/>
    <w:rsid w:val="6C501E02"/>
    <w:rsid w:val="6C510658"/>
    <w:rsid w:val="6C5159D0"/>
    <w:rsid w:val="6C5713C3"/>
    <w:rsid w:val="6C613AF6"/>
    <w:rsid w:val="6C6A2733"/>
    <w:rsid w:val="6C731002"/>
    <w:rsid w:val="6C795563"/>
    <w:rsid w:val="6C7A110F"/>
    <w:rsid w:val="6C9B6EF0"/>
    <w:rsid w:val="6CA56456"/>
    <w:rsid w:val="6CAA5CFE"/>
    <w:rsid w:val="6CAB46BE"/>
    <w:rsid w:val="6CBC5B84"/>
    <w:rsid w:val="6CC165B3"/>
    <w:rsid w:val="6CC43393"/>
    <w:rsid w:val="6CD44834"/>
    <w:rsid w:val="6CDA6644"/>
    <w:rsid w:val="6CEE0685"/>
    <w:rsid w:val="6CF071DF"/>
    <w:rsid w:val="6CFB171B"/>
    <w:rsid w:val="6D0220AE"/>
    <w:rsid w:val="6D1020B5"/>
    <w:rsid w:val="6D1224D1"/>
    <w:rsid w:val="6D2C5257"/>
    <w:rsid w:val="6D2D22D4"/>
    <w:rsid w:val="6D4B0928"/>
    <w:rsid w:val="6D5A24F3"/>
    <w:rsid w:val="6D7A08B2"/>
    <w:rsid w:val="6D8278DB"/>
    <w:rsid w:val="6D845CB7"/>
    <w:rsid w:val="6D870556"/>
    <w:rsid w:val="6D882D4E"/>
    <w:rsid w:val="6D98206D"/>
    <w:rsid w:val="6D9B1E7F"/>
    <w:rsid w:val="6D9C092C"/>
    <w:rsid w:val="6DA31641"/>
    <w:rsid w:val="6DB229B1"/>
    <w:rsid w:val="6DB4398E"/>
    <w:rsid w:val="6DC50E21"/>
    <w:rsid w:val="6DD21B4F"/>
    <w:rsid w:val="6E0E11C3"/>
    <w:rsid w:val="6E1320D6"/>
    <w:rsid w:val="6E147FF3"/>
    <w:rsid w:val="6E2213B6"/>
    <w:rsid w:val="6E2302FD"/>
    <w:rsid w:val="6E32749E"/>
    <w:rsid w:val="6E3635FC"/>
    <w:rsid w:val="6E565A45"/>
    <w:rsid w:val="6E6207B2"/>
    <w:rsid w:val="6E6C5EE1"/>
    <w:rsid w:val="6E70571D"/>
    <w:rsid w:val="6E7F3270"/>
    <w:rsid w:val="6E81532E"/>
    <w:rsid w:val="6E846F05"/>
    <w:rsid w:val="6E8B5333"/>
    <w:rsid w:val="6E961A72"/>
    <w:rsid w:val="6E9E19B2"/>
    <w:rsid w:val="6EA46972"/>
    <w:rsid w:val="6EA843A6"/>
    <w:rsid w:val="6EB5061E"/>
    <w:rsid w:val="6EBB53AA"/>
    <w:rsid w:val="6EE466CB"/>
    <w:rsid w:val="6F162A89"/>
    <w:rsid w:val="6F272153"/>
    <w:rsid w:val="6F2C30F3"/>
    <w:rsid w:val="6F37041B"/>
    <w:rsid w:val="6F377985"/>
    <w:rsid w:val="6F385BF6"/>
    <w:rsid w:val="6F5C44F7"/>
    <w:rsid w:val="6F634777"/>
    <w:rsid w:val="6F6649E9"/>
    <w:rsid w:val="6F6860CD"/>
    <w:rsid w:val="6F6F0337"/>
    <w:rsid w:val="6F77470B"/>
    <w:rsid w:val="6F8131F6"/>
    <w:rsid w:val="6F8352B4"/>
    <w:rsid w:val="6F8F3D88"/>
    <w:rsid w:val="6FA44FEA"/>
    <w:rsid w:val="6FA62887"/>
    <w:rsid w:val="6FA63857"/>
    <w:rsid w:val="6FA87B22"/>
    <w:rsid w:val="6FA955E5"/>
    <w:rsid w:val="6FAE3D8A"/>
    <w:rsid w:val="6FB61C73"/>
    <w:rsid w:val="6FC6153A"/>
    <w:rsid w:val="6FCE5F92"/>
    <w:rsid w:val="6FD653F2"/>
    <w:rsid w:val="6FEB1AD3"/>
    <w:rsid w:val="70015D4D"/>
    <w:rsid w:val="70126162"/>
    <w:rsid w:val="701F23D3"/>
    <w:rsid w:val="70316315"/>
    <w:rsid w:val="704B2D3D"/>
    <w:rsid w:val="70774A58"/>
    <w:rsid w:val="708C0030"/>
    <w:rsid w:val="70932211"/>
    <w:rsid w:val="709C2CFA"/>
    <w:rsid w:val="70AD758B"/>
    <w:rsid w:val="70B663B2"/>
    <w:rsid w:val="70BC7A65"/>
    <w:rsid w:val="70CE403D"/>
    <w:rsid w:val="70D369AC"/>
    <w:rsid w:val="70D96069"/>
    <w:rsid w:val="70E24B6B"/>
    <w:rsid w:val="70E94EAC"/>
    <w:rsid w:val="70EC0DFF"/>
    <w:rsid w:val="70F61270"/>
    <w:rsid w:val="70F91A8A"/>
    <w:rsid w:val="70F95B6D"/>
    <w:rsid w:val="71066FD9"/>
    <w:rsid w:val="71137DAE"/>
    <w:rsid w:val="71275747"/>
    <w:rsid w:val="71431441"/>
    <w:rsid w:val="71433117"/>
    <w:rsid w:val="714723AC"/>
    <w:rsid w:val="71482EA8"/>
    <w:rsid w:val="714E73A9"/>
    <w:rsid w:val="715204F1"/>
    <w:rsid w:val="719E28B6"/>
    <w:rsid w:val="71A678ED"/>
    <w:rsid w:val="71A955EC"/>
    <w:rsid w:val="71AF6D1D"/>
    <w:rsid w:val="71B33513"/>
    <w:rsid w:val="71B4418A"/>
    <w:rsid w:val="71D45B79"/>
    <w:rsid w:val="71E341DD"/>
    <w:rsid w:val="72001067"/>
    <w:rsid w:val="720E4AC8"/>
    <w:rsid w:val="722F1D10"/>
    <w:rsid w:val="72392D26"/>
    <w:rsid w:val="72540349"/>
    <w:rsid w:val="725C2F6A"/>
    <w:rsid w:val="7260799A"/>
    <w:rsid w:val="7262135F"/>
    <w:rsid w:val="726216AE"/>
    <w:rsid w:val="72741050"/>
    <w:rsid w:val="72816AF8"/>
    <w:rsid w:val="7283746E"/>
    <w:rsid w:val="729339F0"/>
    <w:rsid w:val="72C965FB"/>
    <w:rsid w:val="72D116A7"/>
    <w:rsid w:val="72DA4048"/>
    <w:rsid w:val="730B2694"/>
    <w:rsid w:val="73116BAA"/>
    <w:rsid w:val="7324589E"/>
    <w:rsid w:val="732478C3"/>
    <w:rsid w:val="73270DC9"/>
    <w:rsid w:val="7339315F"/>
    <w:rsid w:val="733B32FB"/>
    <w:rsid w:val="733C5E88"/>
    <w:rsid w:val="736857B0"/>
    <w:rsid w:val="7386246E"/>
    <w:rsid w:val="738A77F1"/>
    <w:rsid w:val="73983496"/>
    <w:rsid w:val="73B07C2E"/>
    <w:rsid w:val="73BA7897"/>
    <w:rsid w:val="73BC0EAD"/>
    <w:rsid w:val="73CD1E39"/>
    <w:rsid w:val="73CE3DCA"/>
    <w:rsid w:val="73E67841"/>
    <w:rsid w:val="73EB7ABE"/>
    <w:rsid w:val="73F20941"/>
    <w:rsid w:val="74213F2A"/>
    <w:rsid w:val="74400E20"/>
    <w:rsid w:val="7452565B"/>
    <w:rsid w:val="746A43CB"/>
    <w:rsid w:val="74726122"/>
    <w:rsid w:val="74745322"/>
    <w:rsid w:val="747466C5"/>
    <w:rsid w:val="747F01E7"/>
    <w:rsid w:val="74B46E2A"/>
    <w:rsid w:val="74DD150C"/>
    <w:rsid w:val="74EE0B19"/>
    <w:rsid w:val="74EE2EB7"/>
    <w:rsid w:val="74F120D1"/>
    <w:rsid w:val="750E4296"/>
    <w:rsid w:val="75317B1E"/>
    <w:rsid w:val="75344E56"/>
    <w:rsid w:val="754B60C9"/>
    <w:rsid w:val="75656705"/>
    <w:rsid w:val="75664EA8"/>
    <w:rsid w:val="756D4617"/>
    <w:rsid w:val="756D77AA"/>
    <w:rsid w:val="75710998"/>
    <w:rsid w:val="75727428"/>
    <w:rsid w:val="757C1FB5"/>
    <w:rsid w:val="758406BB"/>
    <w:rsid w:val="75981A0A"/>
    <w:rsid w:val="759B54FD"/>
    <w:rsid w:val="759B6FBD"/>
    <w:rsid w:val="75A33738"/>
    <w:rsid w:val="75C16BBC"/>
    <w:rsid w:val="75D01F8B"/>
    <w:rsid w:val="75D12991"/>
    <w:rsid w:val="75D156FA"/>
    <w:rsid w:val="75D77AAB"/>
    <w:rsid w:val="7622751E"/>
    <w:rsid w:val="763345BE"/>
    <w:rsid w:val="76371408"/>
    <w:rsid w:val="76375570"/>
    <w:rsid w:val="763A0675"/>
    <w:rsid w:val="763A4880"/>
    <w:rsid w:val="76420554"/>
    <w:rsid w:val="764E5AE9"/>
    <w:rsid w:val="76805580"/>
    <w:rsid w:val="768254A5"/>
    <w:rsid w:val="76931022"/>
    <w:rsid w:val="76935449"/>
    <w:rsid w:val="769F5CC2"/>
    <w:rsid w:val="76A95C7B"/>
    <w:rsid w:val="76B75688"/>
    <w:rsid w:val="76C124BC"/>
    <w:rsid w:val="76C961C9"/>
    <w:rsid w:val="76D628F6"/>
    <w:rsid w:val="76E83598"/>
    <w:rsid w:val="76F619E6"/>
    <w:rsid w:val="77091009"/>
    <w:rsid w:val="770D70EA"/>
    <w:rsid w:val="771D51AF"/>
    <w:rsid w:val="7720090E"/>
    <w:rsid w:val="77283464"/>
    <w:rsid w:val="776A4143"/>
    <w:rsid w:val="77A872A7"/>
    <w:rsid w:val="77AA13E0"/>
    <w:rsid w:val="77BA1F1A"/>
    <w:rsid w:val="77BA7939"/>
    <w:rsid w:val="77CA3BBF"/>
    <w:rsid w:val="77D0786E"/>
    <w:rsid w:val="77D32453"/>
    <w:rsid w:val="77D741B7"/>
    <w:rsid w:val="78126DA3"/>
    <w:rsid w:val="78161373"/>
    <w:rsid w:val="78245EC2"/>
    <w:rsid w:val="78343F68"/>
    <w:rsid w:val="783B669A"/>
    <w:rsid w:val="78407129"/>
    <w:rsid w:val="78420A53"/>
    <w:rsid w:val="784702EA"/>
    <w:rsid w:val="784800E3"/>
    <w:rsid w:val="786A103F"/>
    <w:rsid w:val="786C1A1F"/>
    <w:rsid w:val="7874274A"/>
    <w:rsid w:val="78855583"/>
    <w:rsid w:val="78873182"/>
    <w:rsid w:val="788B0ABA"/>
    <w:rsid w:val="78A922B9"/>
    <w:rsid w:val="78B8134F"/>
    <w:rsid w:val="78BB0AE3"/>
    <w:rsid w:val="78C762B9"/>
    <w:rsid w:val="78CD4414"/>
    <w:rsid w:val="78DA0CD9"/>
    <w:rsid w:val="78F22620"/>
    <w:rsid w:val="78F530DA"/>
    <w:rsid w:val="79177238"/>
    <w:rsid w:val="79195682"/>
    <w:rsid w:val="791D12C3"/>
    <w:rsid w:val="79212C0F"/>
    <w:rsid w:val="792F5B63"/>
    <w:rsid w:val="79315A62"/>
    <w:rsid w:val="79343F8D"/>
    <w:rsid w:val="79364FDB"/>
    <w:rsid w:val="793A06DF"/>
    <w:rsid w:val="793E6958"/>
    <w:rsid w:val="79457063"/>
    <w:rsid w:val="795365ED"/>
    <w:rsid w:val="7973119A"/>
    <w:rsid w:val="797552FA"/>
    <w:rsid w:val="79762872"/>
    <w:rsid w:val="79773A95"/>
    <w:rsid w:val="79A54B0E"/>
    <w:rsid w:val="79BB3AD6"/>
    <w:rsid w:val="79C23BC6"/>
    <w:rsid w:val="79D43D9A"/>
    <w:rsid w:val="79D7466D"/>
    <w:rsid w:val="79F325C8"/>
    <w:rsid w:val="79FE5405"/>
    <w:rsid w:val="7A0907D6"/>
    <w:rsid w:val="7A0D69AA"/>
    <w:rsid w:val="7A0E3DA5"/>
    <w:rsid w:val="7A1069F0"/>
    <w:rsid w:val="7A1263A9"/>
    <w:rsid w:val="7A20222B"/>
    <w:rsid w:val="7A2B3AFF"/>
    <w:rsid w:val="7A3C7BD6"/>
    <w:rsid w:val="7A3F78E7"/>
    <w:rsid w:val="7A5D7EA9"/>
    <w:rsid w:val="7A5F7D20"/>
    <w:rsid w:val="7A7300E8"/>
    <w:rsid w:val="7A767FBF"/>
    <w:rsid w:val="7A770EBA"/>
    <w:rsid w:val="7A9C636A"/>
    <w:rsid w:val="7AA737FA"/>
    <w:rsid w:val="7AAD34D0"/>
    <w:rsid w:val="7ABF7BEC"/>
    <w:rsid w:val="7ADA4297"/>
    <w:rsid w:val="7AEB0B95"/>
    <w:rsid w:val="7AF21393"/>
    <w:rsid w:val="7AF25CC0"/>
    <w:rsid w:val="7B1E02CC"/>
    <w:rsid w:val="7B275534"/>
    <w:rsid w:val="7B4625BE"/>
    <w:rsid w:val="7B544DA5"/>
    <w:rsid w:val="7B5D1031"/>
    <w:rsid w:val="7B6510B6"/>
    <w:rsid w:val="7B682189"/>
    <w:rsid w:val="7B7C2890"/>
    <w:rsid w:val="7B8E553E"/>
    <w:rsid w:val="7BA405AE"/>
    <w:rsid w:val="7BBC736D"/>
    <w:rsid w:val="7BC04EE3"/>
    <w:rsid w:val="7BC147DE"/>
    <w:rsid w:val="7BCF06BA"/>
    <w:rsid w:val="7BD047C2"/>
    <w:rsid w:val="7BD726C2"/>
    <w:rsid w:val="7BEC042C"/>
    <w:rsid w:val="7BF0721C"/>
    <w:rsid w:val="7C110853"/>
    <w:rsid w:val="7C14443A"/>
    <w:rsid w:val="7C2A3353"/>
    <w:rsid w:val="7C306E85"/>
    <w:rsid w:val="7C3800BD"/>
    <w:rsid w:val="7C396175"/>
    <w:rsid w:val="7C43570C"/>
    <w:rsid w:val="7C515206"/>
    <w:rsid w:val="7C7418F0"/>
    <w:rsid w:val="7C840CDD"/>
    <w:rsid w:val="7C8F24B7"/>
    <w:rsid w:val="7CA24432"/>
    <w:rsid w:val="7CB21899"/>
    <w:rsid w:val="7CB6437B"/>
    <w:rsid w:val="7CC255A3"/>
    <w:rsid w:val="7CCA1CF0"/>
    <w:rsid w:val="7D0534CC"/>
    <w:rsid w:val="7D1B153B"/>
    <w:rsid w:val="7D231884"/>
    <w:rsid w:val="7D236508"/>
    <w:rsid w:val="7D25114E"/>
    <w:rsid w:val="7D2C3A1E"/>
    <w:rsid w:val="7D3069EC"/>
    <w:rsid w:val="7D384FC0"/>
    <w:rsid w:val="7D48371C"/>
    <w:rsid w:val="7D555F5A"/>
    <w:rsid w:val="7D5D0AC2"/>
    <w:rsid w:val="7D667E4E"/>
    <w:rsid w:val="7D782167"/>
    <w:rsid w:val="7D8754F7"/>
    <w:rsid w:val="7D910F0D"/>
    <w:rsid w:val="7D965D78"/>
    <w:rsid w:val="7DA229D6"/>
    <w:rsid w:val="7DCA7694"/>
    <w:rsid w:val="7DDA2975"/>
    <w:rsid w:val="7DE846AE"/>
    <w:rsid w:val="7DEC12CC"/>
    <w:rsid w:val="7DFB607A"/>
    <w:rsid w:val="7E026FD2"/>
    <w:rsid w:val="7E237A77"/>
    <w:rsid w:val="7E3005FC"/>
    <w:rsid w:val="7E344A58"/>
    <w:rsid w:val="7E483B0E"/>
    <w:rsid w:val="7E50508B"/>
    <w:rsid w:val="7E610D3C"/>
    <w:rsid w:val="7E6C3BF7"/>
    <w:rsid w:val="7E8052AC"/>
    <w:rsid w:val="7E945B12"/>
    <w:rsid w:val="7E954A45"/>
    <w:rsid w:val="7E962EAA"/>
    <w:rsid w:val="7E9C0924"/>
    <w:rsid w:val="7EAA17B2"/>
    <w:rsid w:val="7EB532AF"/>
    <w:rsid w:val="7EBA5A8E"/>
    <w:rsid w:val="7EBB10A4"/>
    <w:rsid w:val="7EBF3C1C"/>
    <w:rsid w:val="7ED34B88"/>
    <w:rsid w:val="7ED46E77"/>
    <w:rsid w:val="7ED81079"/>
    <w:rsid w:val="7EE0534F"/>
    <w:rsid w:val="7EE219C9"/>
    <w:rsid w:val="7EE731E6"/>
    <w:rsid w:val="7EE96598"/>
    <w:rsid w:val="7EF220F0"/>
    <w:rsid w:val="7EF72162"/>
    <w:rsid w:val="7EFB39B4"/>
    <w:rsid w:val="7EFF2C70"/>
    <w:rsid w:val="7F0B6250"/>
    <w:rsid w:val="7F1752B7"/>
    <w:rsid w:val="7F1E09C7"/>
    <w:rsid w:val="7F255176"/>
    <w:rsid w:val="7F260C55"/>
    <w:rsid w:val="7F265C4B"/>
    <w:rsid w:val="7F29501D"/>
    <w:rsid w:val="7F2D488C"/>
    <w:rsid w:val="7F646FAC"/>
    <w:rsid w:val="7F6C0352"/>
    <w:rsid w:val="7F6F4F69"/>
    <w:rsid w:val="7F702851"/>
    <w:rsid w:val="7F9848A8"/>
    <w:rsid w:val="7FB85800"/>
    <w:rsid w:val="7FC325C7"/>
    <w:rsid w:val="7FCB0F96"/>
    <w:rsid w:val="7FD246B7"/>
    <w:rsid w:val="7FE352F4"/>
    <w:rsid w:val="7FEE476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line="578" w:lineRule="auto"/>
      <w:outlineLvl w:val="0"/>
    </w:pPr>
    <w:rPr>
      <w:b/>
      <w:bCs/>
      <w:kern w:val="44"/>
      <w:sz w:val="44"/>
      <w:szCs w:val="44"/>
    </w:rPr>
  </w:style>
  <w:style w:type="paragraph" w:styleId="4">
    <w:name w:val="heading 2"/>
    <w:basedOn w:val="1"/>
    <w:next w:val="1"/>
    <w:link w:val="63"/>
    <w:qFormat/>
    <w:uiPriority w:val="0"/>
    <w:pPr>
      <w:keepNext/>
      <w:keepLines/>
      <w:numPr>
        <w:ilvl w:val="1"/>
        <w:numId w:val="1"/>
      </w:numPr>
      <w:adjustRightInd w:val="0"/>
      <w:spacing w:line="360" w:lineRule="auto"/>
      <w:jc w:val="left"/>
      <w:textAlignment w:val="baseline"/>
      <w:outlineLvl w:val="1"/>
    </w:pPr>
    <w:rPr>
      <w:rFonts w:ascii="宋体"/>
      <w:b/>
      <w:kern w:val="0"/>
      <w:sz w:val="24"/>
      <w:szCs w:val="20"/>
    </w:rPr>
  </w:style>
  <w:style w:type="paragraph" w:styleId="5">
    <w:name w:val="heading 3"/>
    <w:basedOn w:val="1"/>
    <w:next w:val="1"/>
    <w:link w:val="75"/>
    <w:qFormat/>
    <w:uiPriority w:val="0"/>
    <w:pPr>
      <w:keepNext/>
      <w:keepLines/>
      <w:numPr>
        <w:ilvl w:val="2"/>
        <w:numId w:val="1"/>
      </w:numPr>
      <w:adjustRightInd w:val="0"/>
      <w:spacing w:line="360" w:lineRule="auto"/>
      <w:ind w:left="397"/>
      <w:jc w:val="left"/>
      <w:textAlignment w:val="baseline"/>
      <w:outlineLvl w:val="2"/>
    </w:pPr>
    <w:rPr>
      <w:rFonts w:ascii="宋体" w:hAnsi="Arial"/>
      <w:b/>
      <w:kern w:val="0"/>
      <w:szCs w:val="20"/>
    </w:rPr>
  </w:style>
  <w:style w:type="paragraph" w:styleId="6">
    <w:name w:val="heading 4"/>
    <w:basedOn w:val="1"/>
    <w:next w:val="1"/>
    <w:link w:val="42"/>
    <w:qFormat/>
    <w:uiPriority w:val="0"/>
    <w:pPr>
      <w:keepNext/>
      <w:keepLines/>
      <w:numPr>
        <w:ilvl w:val="3"/>
        <w:numId w:val="1"/>
      </w:numPr>
      <w:adjustRightInd w:val="0"/>
      <w:spacing w:line="376" w:lineRule="atLeast"/>
      <w:ind w:left="397"/>
      <w:jc w:val="left"/>
      <w:textAlignment w:val="baseline"/>
      <w:outlineLvl w:val="3"/>
    </w:pPr>
    <w:rPr>
      <w:rFonts w:ascii="Arial" w:hAnsi="Arial" w:eastAsia="黑体"/>
      <w:b/>
      <w:kern w:val="0"/>
      <w:sz w:val="24"/>
      <w:szCs w:val="20"/>
    </w:rPr>
  </w:style>
  <w:style w:type="paragraph" w:styleId="7">
    <w:name w:val="heading 5"/>
    <w:basedOn w:val="1"/>
    <w:next w:val="1"/>
    <w:link w:val="73"/>
    <w:qFormat/>
    <w:uiPriority w:val="0"/>
    <w:pPr>
      <w:keepNext/>
      <w:keepLines/>
      <w:numPr>
        <w:ilvl w:val="4"/>
        <w:numId w:val="1"/>
      </w:numPr>
      <w:adjustRightInd w:val="0"/>
      <w:spacing w:line="376" w:lineRule="atLeast"/>
      <w:ind w:left="397"/>
      <w:jc w:val="left"/>
      <w:textAlignment w:val="baseline"/>
      <w:outlineLvl w:val="4"/>
    </w:pPr>
    <w:rPr>
      <w:rFonts w:ascii="宋体" w:hAnsi="Arial"/>
      <w:b/>
      <w:kern w:val="0"/>
      <w:sz w:val="24"/>
      <w:szCs w:val="20"/>
    </w:rPr>
  </w:style>
  <w:style w:type="paragraph" w:styleId="8">
    <w:name w:val="heading 6"/>
    <w:basedOn w:val="1"/>
    <w:next w:val="1"/>
    <w:link w:val="74"/>
    <w:qFormat/>
    <w:uiPriority w:val="0"/>
    <w:pPr>
      <w:keepNext/>
      <w:keepLines/>
      <w:numPr>
        <w:ilvl w:val="5"/>
        <w:numId w:val="1"/>
      </w:numPr>
      <w:adjustRightInd w:val="0"/>
      <w:spacing w:line="320" w:lineRule="atLeast"/>
      <w:ind w:left="397"/>
      <w:jc w:val="left"/>
      <w:textAlignment w:val="baseline"/>
      <w:outlineLvl w:val="5"/>
    </w:pPr>
    <w:rPr>
      <w:rFonts w:ascii="Arial" w:hAnsi="Arial" w:eastAsia="黑体"/>
      <w:b/>
      <w:kern w:val="0"/>
      <w:sz w:val="24"/>
      <w:szCs w:val="20"/>
    </w:rPr>
  </w:style>
  <w:style w:type="paragraph" w:styleId="9">
    <w:name w:val="heading 7"/>
    <w:basedOn w:val="1"/>
    <w:next w:val="1"/>
    <w:link w:val="71"/>
    <w:qFormat/>
    <w:uiPriority w:val="0"/>
    <w:pPr>
      <w:keepNext/>
      <w:keepLines/>
      <w:numPr>
        <w:ilvl w:val="6"/>
        <w:numId w:val="1"/>
      </w:numPr>
      <w:adjustRightInd w:val="0"/>
      <w:spacing w:line="320" w:lineRule="atLeast"/>
      <w:ind w:left="397"/>
      <w:jc w:val="left"/>
      <w:textAlignment w:val="baseline"/>
      <w:outlineLvl w:val="6"/>
    </w:pPr>
    <w:rPr>
      <w:rFonts w:ascii="宋体" w:hAnsi="Arial"/>
      <w:b/>
      <w:kern w:val="0"/>
      <w:sz w:val="24"/>
      <w:szCs w:val="20"/>
    </w:rPr>
  </w:style>
  <w:style w:type="paragraph" w:styleId="10">
    <w:name w:val="heading 8"/>
    <w:basedOn w:val="1"/>
    <w:next w:val="1"/>
    <w:link w:val="68"/>
    <w:qFormat/>
    <w:uiPriority w:val="0"/>
    <w:pPr>
      <w:keepNext/>
      <w:keepLines/>
      <w:numPr>
        <w:ilvl w:val="7"/>
        <w:numId w:val="1"/>
      </w:numPr>
      <w:adjustRightInd w:val="0"/>
      <w:spacing w:line="320" w:lineRule="atLeast"/>
      <w:ind w:left="397"/>
      <w:jc w:val="left"/>
      <w:textAlignment w:val="baseline"/>
      <w:outlineLvl w:val="7"/>
    </w:pPr>
    <w:rPr>
      <w:rFonts w:ascii="Arial" w:hAnsi="Arial" w:eastAsia="黑体"/>
      <w:kern w:val="0"/>
      <w:sz w:val="24"/>
      <w:szCs w:val="20"/>
    </w:rPr>
  </w:style>
  <w:style w:type="paragraph" w:styleId="11">
    <w:name w:val="heading 9"/>
    <w:basedOn w:val="1"/>
    <w:next w:val="1"/>
    <w:link w:val="66"/>
    <w:qFormat/>
    <w:uiPriority w:val="0"/>
    <w:pPr>
      <w:keepNext/>
      <w:keepLines/>
      <w:numPr>
        <w:ilvl w:val="8"/>
        <w:numId w:val="1"/>
      </w:numPr>
      <w:adjustRightInd w:val="0"/>
      <w:spacing w:line="320" w:lineRule="atLeast"/>
      <w:ind w:left="397"/>
      <w:jc w:val="left"/>
      <w:textAlignment w:val="baseline"/>
      <w:outlineLvl w:val="8"/>
    </w:pPr>
    <w:rPr>
      <w:rFonts w:ascii="Arial" w:hAnsi="Arial" w:eastAsia="黑体"/>
      <w:kern w:val="0"/>
      <w:szCs w:val="20"/>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3">
    <w:name w:val="macro"/>
    <w:basedOn w:val="1"/>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12">
    <w:name w:val="Note Heading"/>
    <w:basedOn w:val="1"/>
    <w:next w:val="1"/>
    <w:qFormat/>
    <w:uiPriority w:val="0"/>
    <w:pPr>
      <w:jc w:val="center"/>
    </w:pPr>
    <w:rPr>
      <w:kern w:val="0"/>
      <w:sz w:val="20"/>
      <w:lang w:val="zh-CN"/>
    </w:rPr>
  </w:style>
  <w:style w:type="paragraph" w:styleId="13">
    <w:name w:val="Normal Indent"/>
    <w:basedOn w:val="1"/>
    <w:next w:val="1"/>
    <w:link w:val="61"/>
    <w:qFormat/>
    <w:uiPriority w:val="0"/>
    <w:pPr>
      <w:ind w:firstLine="420"/>
    </w:pPr>
    <w:rPr>
      <w:szCs w:val="20"/>
    </w:rPr>
  </w:style>
  <w:style w:type="paragraph" w:styleId="14">
    <w:name w:val="annotation text"/>
    <w:basedOn w:val="1"/>
    <w:link w:val="65"/>
    <w:qFormat/>
    <w:uiPriority w:val="0"/>
    <w:pPr>
      <w:jc w:val="left"/>
    </w:pPr>
    <w:rPr>
      <w:sz w:val="28"/>
      <w:szCs w:val="20"/>
    </w:rPr>
  </w:style>
  <w:style w:type="paragraph" w:styleId="15">
    <w:name w:val="Body Text"/>
    <w:basedOn w:val="1"/>
    <w:link w:val="79"/>
    <w:qFormat/>
    <w:uiPriority w:val="0"/>
  </w:style>
  <w:style w:type="paragraph" w:styleId="16">
    <w:name w:val="Body Text Indent"/>
    <w:basedOn w:val="1"/>
    <w:link w:val="62"/>
    <w:qFormat/>
    <w:uiPriority w:val="0"/>
    <w:pPr>
      <w:ind w:firstLine="480"/>
    </w:pPr>
    <w:rPr>
      <w:sz w:val="24"/>
      <w:szCs w:val="20"/>
    </w:rPr>
  </w:style>
  <w:style w:type="paragraph" w:styleId="17">
    <w:name w:val="List 2"/>
    <w:basedOn w:val="1"/>
    <w:qFormat/>
    <w:uiPriority w:val="0"/>
    <w:pPr>
      <w:ind w:left="100" w:leftChars="200" w:hanging="200" w:hangingChars="200"/>
    </w:pPr>
  </w:style>
  <w:style w:type="paragraph" w:styleId="18">
    <w:name w:val="Block Text"/>
    <w:basedOn w:val="1"/>
    <w:qFormat/>
    <w:uiPriority w:val="0"/>
    <w:pPr>
      <w:autoSpaceDE w:val="0"/>
      <w:autoSpaceDN w:val="0"/>
      <w:adjustRightInd w:val="0"/>
      <w:spacing w:line="537" w:lineRule="exact"/>
      <w:ind w:left="88" w:right="6"/>
    </w:pPr>
    <w:rPr>
      <w:kern w:val="0"/>
      <w:sz w:val="28"/>
      <w:szCs w:val="20"/>
    </w:rPr>
  </w:style>
  <w:style w:type="paragraph" w:styleId="19">
    <w:name w:val="Plain Text"/>
    <w:basedOn w:val="1"/>
    <w:link w:val="67"/>
    <w:qFormat/>
    <w:uiPriority w:val="0"/>
    <w:rPr>
      <w:rFonts w:ascii="宋体" w:hAnsi="Courier New"/>
      <w:szCs w:val="20"/>
    </w:rPr>
  </w:style>
  <w:style w:type="paragraph" w:styleId="20">
    <w:name w:val="Date"/>
    <w:basedOn w:val="1"/>
    <w:next w:val="1"/>
    <w:qFormat/>
    <w:uiPriority w:val="0"/>
    <w:pPr>
      <w:adjustRightInd w:val="0"/>
      <w:textAlignment w:val="baseline"/>
    </w:pPr>
    <w:rPr>
      <w:sz w:val="24"/>
      <w:szCs w:val="20"/>
    </w:rPr>
  </w:style>
  <w:style w:type="paragraph" w:styleId="21">
    <w:name w:val="Body Text Indent 2"/>
    <w:basedOn w:val="1"/>
    <w:link w:val="77"/>
    <w:qFormat/>
    <w:uiPriority w:val="0"/>
    <w:pPr>
      <w:spacing w:line="480" w:lineRule="auto"/>
      <w:ind w:left="420" w:leftChars="200"/>
    </w:pPr>
  </w:style>
  <w:style w:type="paragraph" w:styleId="22">
    <w:name w:val="Balloon Text"/>
    <w:basedOn w:val="1"/>
    <w:semiHidden/>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szCs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Body Text Indent 3"/>
    <w:basedOn w:val="1"/>
    <w:link w:val="70"/>
    <w:qFormat/>
    <w:uiPriority w:val="0"/>
    <w:pPr>
      <w:ind w:left="420" w:leftChars="200"/>
    </w:pPr>
    <w:rPr>
      <w:sz w:val="16"/>
      <w:szCs w:val="16"/>
    </w:rPr>
  </w:style>
  <w:style w:type="paragraph" w:styleId="26">
    <w:name w:val="Body Text 2"/>
    <w:basedOn w:val="1"/>
    <w:link w:val="69"/>
    <w:qFormat/>
    <w:uiPriority w:val="0"/>
    <w:pPr>
      <w:spacing w:line="480" w:lineRule="auto"/>
    </w:pPr>
  </w:style>
  <w:style w:type="paragraph" w:styleId="27">
    <w:name w:val="Message Header"/>
    <w:basedOn w:val="1"/>
    <w:qFormat/>
    <w:uiPriority w:val="0"/>
    <w:pPr>
      <w:pBdr>
        <w:top w:val="none" w:color="auto" w:sz="0" w:space="1"/>
        <w:left w:val="none" w:color="auto" w:sz="0" w:space="1"/>
        <w:bottom w:val="none" w:color="auto" w:sz="0" w:space="1"/>
        <w:right w:val="none" w:color="auto" w:sz="0" w:space="1"/>
      </w:pBdr>
      <w:ind w:firstLine="560" w:firstLineChars="200"/>
    </w:pPr>
  </w:style>
  <w:style w:type="paragraph" w:styleId="28">
    <w:name w:val="Normal (Web)"/>
    <w:basedOn w:val="1"/>
    <w:unhideWhenUsed/>
    <w:qFormat/>
    <w:uiPriority w:val="99"/>
    <w:pPr>
      <w:widowControl/>
      <w:spacing w:beforeAutospacing="1" w:afterAutospacing="1"/>
      <w:jc w:val="left"/>
    </w:pPr>
    <w:rPr>
      <w:rFonts w:ascii="宋体" w:hAnsi="宋体" w:cs="宋体"/>
      <w:kern w:val="0"/>
      <w:sz w:val="24"/>
    </w:rPr>
  </w:style>
  <w:style w:type="paragraph" w:styleId="29">
    <w:name w:val="Title"/>
    <w:basedOn w:val="1"/>
    <w:next w:val="1"/>
    <w:qFormat/>
    <w:uiPriority w:val="0"/>
    <w:pPr>
      <w:spacing w:line="520" w:lineRule="exact"/>
      <w:jc w:val="center"/>
    </w:pPr>
    <w:rPr>
      <w:rFonts w:ascii="Cambria" w:hAnsi="Cambria"/>
      <w:b/>
      <w:bCs/>
      <w:sz w:val="24"/>
      <w:szCs w:val="32"/>
    </w:rPr>
  </w:style>
  <w:style w:type="paragraph" w:styleId="30">
    <w:name w:val="annotation subject"/>
    <w:basedOn w:val="14"/>
    <w:next w:val="14"/>
    <w:link w:val="64"/>
    <w:qFormat/>
    <w:uiPriority w:val="0"/>
    <w:rPr>
      <w:b/>
      <w:bCs/>
      <w:sz w:val="21"/>
      <w:szCs w:val="24"/>
    </w:rPr>
  </w:style>
  <w:style w:type="paragraph" w:styleId="31">
    <w:name w:val="Body Text First Indent 2"/>
    <w:basedOn w:val="16"/>
    <w:next w:val="1"/>
    <w:link w:val="87"/>
    <w:qFormat/>
    <w:uiPriority w:val="0"/>
    <w:pPr>
      <w:ind w:firstLine="420" w:firstLineChars="200"/>
    </w:pPr>
    <w:rPr>
      <w:sz w:val="21"/>
      <w:szCs w:val="24"/>
    </w:rPr>
  </w:style>
  <w:style w:type="table" w:styleId="33">
    <w:name w:val="Table Grid"/>
    <w:basedOn w:val="3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22"/>
    <w:rPr>
      <w:b/>
      <w:bCs/>
    </w:rPr>
  </w:style>
  <w:style w:type="character" w:styleId="36">
    <w:name w:val="page number"/>
    <w:basedOn w:val="34"/>
    <w:qFormat/>
    <w:uiPriority w:val="0"/>
  </w:style>
  <w:style w:type="character" w:styleId="37">
    <w:name w:val="FollowedHyperlink"/>
    <w:qFormat/>
    <w:uiPriority w:val="0"/>
    <w:rPr>
      <w:color w:val="666666"/>
      <w:u w:val="none"/>
    </w:rPr>
  </w:style>
  <w:style w:type="character" w:styleId="38">
    <w:name w:val="Emphasis"/>
    <w:basedOn w:val="34"/>
    <w:qFormat/>
    <w:uiPriority w:val="0"/>
  </w:style>
  <w:style w:type="character" w:styleId="39">
    <w:name w:val="Hyperlink"/>
    <w:basedOn w:val="34"/>
    <w:unhideWhenUsed/>
    <w:qFormat/>
    <w:uiPriority w:val="99"/>
    <w:rPr>
      <w:color w:val="136EC2"/>
      <w:u w:val="single"/>
    </w:rPr>
  </w:style>
  <w:style w:type="character" w:styleId="40">
    <w:name w:val="HTML Code"/>
    <w:basedOn w:val="34"/>
    <w:qFormat/>
    <w:uiPriority w:val="0"/>
    <w:rPr>
      <w:rFonts w:ascii="Courier New" w:hAnsi="Courier New"/>
      <w:sz w:val="20"/>
    </w:rPr>
  </w:style>
  <w:style w:type="character" w:styleId="41">
    <w:name w:val="annotation reference"/>
    <w:qFormat/>
    <w:uiPriority w:val="0"/>
    <w:rPr>
      <w:sz w:val="21"/>
      <w:szCs w:val="21"/>
    </w:rPr>
  </w:style>
  <w:style w:type="character" w:customStyle="1" w:styleId="42">
    <w:name w:val="标题 4 Char"/>
    <w:link w:val="6"/>
    <w:qFormat/>
    <w:uiPriority w:val="0"/>
    <w:rPr>
      <w:rFonts w:ascii="Arial" w:hAnsi="Arial" w:eastAsia="黑体"/>
      <w:b/>
      <w:sz w:val="24"/>
    </w:rPr>
  </w:style>
  <w:style w:type="character" w:customStyle="1" w:styleId="43">
    <w:name w:val="标题 1 Char"/>
    <w:link w:val="2"/>
    <w:qFormat/>
    <w:uiPriority w:val="0"/>
    <w:rPr>
      <w:b/>
      <w:bCs/>
      <w:kern w:val="44"/>
      <w:sz w:val="44"/>
      <w:szCs w:val="44"/>
    </w:rPr>
  </w:style>
  <w:style w:type="paragraph" w:customStyle="1" w:styleId="44">
    <w:name w:val="默认段落字体 Para Char"/>
    <w:basedOn w:val="1"/>
    <w:unhideWhenUsed/>
    <w:qFormat/>
    <w:uiPriority w:val="0"/>
    <w:rPr>
      <w:sz w:val="24"/>
    </w:rPr>
  </w:style>
  <w:style w:type="paragraph" w:customStyle="1" w:styleId="45">
    <w:name w:val="_Style 9"/>
    <w:basedOn w:val="1"/>
    <w:next w:val="1"/>
    <w:qFormat/>
    <w:uiPriority w:val="0"/>
    <w:pPr>
      <w:keepNext/>
      <w:keepLines/>
      <w:widowControl/>
      <w:adjustRightInd w:val="0"/>
      <w:spacing w:line="360" w:lineRule="auto"/>
      <w:ind w:firstLine="200" w:firstLineChars="200"/>
      <w:jc w:val="left"/>
      <w:textAlignment w:val="baseline"/>
      <w:outlineLvl w:val="1"/>
    </w:pPr>
    <w:rPr>
      <w:szCs w:val="20"/>
    </w:rPr>
  </w:style>
  <w:style w:type="paragraph" w:customStyle="1" w:styleId="46">
    <w:name w:val="正文缩进1"/>
    <w:basedOn w:val="1"/>
    <w:qFormat/>
    <w:uiPriority w:val="0"/>
    <w:pPr>
      <w:adjustRightInd w:val="0"/>
      <w:snapToGrid w:val="0"/>
      <w:spacing w:line="360" w:lineRule="auto"/>
      <w:ind w:firstLine="200" w:firstLineChars="200"/>
    </w:pPr>
    <w:rPr>
      <w:sz w:val="28"/>
      <w:szCs w:val="28"/>
    </w:rPr>
  </w:style>
  <w:style w:type="paragraph" w:customStyle="1" w:styleId="47">
    <w:name w:val="Char Char Char"/>
    <w:basedOn w:val="1"/>
    <w:qFormat/>
    <w:uiPriority w:val="0"/>
    <w:pPr>
      <w:spacing w:line="360" w:lineRule="auto"/>
      <w:ind w:firstLine="200" w:firstLineChars="200"/>
    </w:pPr>
    <w:rPr>
      <w:rFonts w:ascii="宋体" w:hAnsi="宋体" w:cs="宋体"/>
      <w:sz w:val="24"/>
    </w:rPr>
  </w:style>
  <w:style w:type="paragraph" w:customStyle="1" w:styleId="48">
    <w:name w:val="中文报告书"/>
    <w:basedOn w:val="1"/>
    <w:qFormat/>
    <w:uiPriority w:val="0"/>
    <w:pPr>
      <w:adjustRightInd w:val="0"/>
      <w:spacing w:line="420" w:lineRule="atLeast"/>
      <w:jc w:val="left"/>
      <w:textAlignment w:val="baseline"/>
    </w:pPr>
    <w:rPr>
      <w:kern w:val="0"/>
      <w:sz w:val="24"/>
    </w:rPr>
  </w:style>
  <w:style w:type="paragraph" w:customStyle="1" w:styleId="49">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50">
    <w:name w:val="表格"/>
    <w:basedOn w:val="1"/>
    <w:qFormat/>
    <w:uiPriority w:val="0"/>
    <w:pPr>
      <w:spacing w:line="360" w:lineRule="exact"/>
      <w:jc w:val="center"/>
    </w:pPr>
    <w:rPr>
      <w:szCs w:val="20"/>
    </w:rPr>
  </w:style>
  <w:style w:type="paragraph" w:customStyle="1" w:styleId="51">
    <w:name w:val="正文五"/>
    <w:basedOn w:val="1"/>
    <w:qFormat/>
    <w:uiPriority w:val="0"/>
    <w:pPr>
      <w:snapToGrid w:val="0"/>
      <w:jc w:val="center"/>
    </w:pPr>
    <w:rPr>
      <w:sz w:val="24"/>
      <w:szCs w:val="20"/>
    </w:rPr>
  </w:style>
  <w:style w:type="paragraph" w:customStyle="1" w:styleId="52">
    <w:name w:val="Char Char Char Char Char Char Char Char Char Char"/>
    <w:basedOn w:val="1"/>
    <w:qFormat/>
    <w:uiPriority w:val="0"/>
    <w:pPr>
      <w:spacing w:line="240" w:lineRule="exact"/>
      <w:ind w:firstLine="200" w:firstLineChars="200"/>
    </w:pPr>
    <w:rPr>
      <w:rFonts w:ascii="宋体" w:hAnsi="宋体" w:cs="宋体"/>
      <w:sz w:val="24"/>
    </w:rPr>
  </w:style>
  <w:style w:type="paragraph" w:customStyle="1" w:styleId="53">
    <w:name w:val="Char"/>
    <w:basedOn w:val="1"/>
    <w:qFormat/>
    <w:uiPriority w:val="0"/>
    <w:rPr>
      <w:szCs w:val="20"/>
    </w:rPr>
  </w:style>
  <w:style w:type="paragraph" w:customStyle="1" w:styleId="54">
    <w:name w:val="样式 (符号) 宋体 小四 首行缩进:  0.85 厘米 行距: 固定值 26 磅"/>
    <w:basedOn w:val="1"/>
    <w:qFormat/>
    <w:uiPriority w:val="0"/>
    <w:pPr>
      <w:spacing w:line="520" w:lineRule="exact"/>
      <w:ind w:firstLine="480"/>
    </w:pPr>
    <w:rPr>
      <w:rFonts w:hAnsi="宋体" w:cs="宋体"/>
      <w:sz w:val="24"/>
      <w:szCs w:val="20"/>
    </w:rPr>
  </w:style>
  <w:style w:type="paragraph" w:customStyle="1" w:styleId="55">
    <w:name w:val="正文1"/>
    <w:basedOn w:val="1"/>
    <w:link w:val="78"/>
    <w:qFormat/>
    <w:uiPriority w:val="0"/>
    <w:pPr>
      <w:spacing w:line="360" w:lineRule="auto"/>
      <w:ind w:firstLine="480" w:firstLineChars="200"/>
    </w:pPr>
    <w:rPr>
      <w:kern w:val="0"/>
      <w:position w:val="-14"/>
      <w:sz w:val="24"/>
      <w:lang w:val="zh-CN"/>
    </w:rPr>
  </w:style>
  <w:style w:type="paragraph" w:customStyle="1" w:styleId="56">
    <w:name w:val="Char Char Char Char Char Char Char Char Char Char Char Char Char"/>
    <w:basedOn w:val="1"/>
    <w:qFormat/>
    <w:uiPriority w:val="0"/>
    <w:pPr>
      <w:adjustRightInd w:val="0"/>
      <w:spacing w:line="360" w:lineRule="auto"/>
    </w:pPr>
    <w:rPr>
      <w:kern w:val="0"/>
      <w:sz w:val="24"/>
      <w:szCs w:val="20"/>
    </w:rPr>
  </w:style>
  <w:style w:type="paragraph" w:customStyle="1" w:styleId="5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00"/>
    <w:basedOn w:val="1"/>
    <w:next w:val="3"/>
    <w:qFormat/>
    <w:uiPriority w:val="0"/>
    <w:pPr>
      <w:spacing w:line="520" w:lineRule="exact"/>
      <w:ind w:firstLine="200" w:firstLineChars="200"/>
    </w:pPr>
    <w:rPr>
      <w:rFonts w:ascii="宋体" w:hAnsi="宋体" w:cs="宋体"/>
      <w:sz w:val="24"/>
      <w:szCs w:val="20"/>
    </w:rPr>
  </w:style>
  <w:style w:type="paragraph" w:customStyle="1" w:styleId="59">
    <w:name w:val="p0"/>
    <w:basedOn w:val="1"/>
    <w:qFormat/>
    <w:uiPriority w:val="0"/>
    <w:pPr>
      <w:widowControl/>
    </w:pPr>
    <w:rPr>
      <w:kern w:val="0"/>
      <w:szCs w:val="21"/>
    </w:rPr>
  </w:style>
  <w:style w:type="paragraph" w:customStyle="1" w:styleId="60">
    <w:name w:val="Char Char Char Char"/>
    <w:basedOn w:val="1"/>
    <w:qFormat/>
    <w:uiPriority w:val="0"/>
  </w:style>
  <w:style w:type="character" w:customStyle="1" w:styleId="61">
    <w:name w:val="正文缩进 Char"/>
    <w:link w:val="13"/>
    <w:qFormat/>
    <w:uiPriority w:val="0"/>
    <w:rPr>
      <w:kern w:val="2"/>
      <w:sz w:val="21"/>
    </w:rPr>
  </w:style>
  <w:style w:type="character" w:customStyle="1" w:styleId="62">
    <w:name w:val="正文文本缩进 Char"/>
    <w:link w:val="16"/>
    <w:qFormat/>
    <w:uiPriority w:val="0"/>
    <w:rPr>
      <w:kern w:val="2"/>
      <w:sz w:val="24"/>
    </w:rPr>
  </w:style>
  <w:style w:type="character" w:customStyle="1" w:styleId="63">
    <w:name w:val="标题 2 Char"/>
    <w:link w:val="4"/>
    <w:qFormat/>
    <w:uiPriority w:val="0"/>
    <w:rPr>
      <w:rFonts w:ascii="宋体"/>
      <w:b/>
      <w:sz w:val="24"/>
    </w:rPr>
  </w:style>
  <w:style w:type="character" w:customStyle="1" w:styleId="64">
    <w:name w:val="批注主题 Char"/>
    <w:link w:val="30"/>
    <w:qFormat/>
    <w:uiPriority w:val="0"/>
    <w:rPr>
      <w:b/>
      <w:bCs/>
      <w:kern w:val="2"/>
      <w:sz w:val="21"/>
      <w:szCs w:val="24"/>
    </w:rPr>
  </w:style>
  <w:style w:type="character" w:customStyle="1" w:styleId="65">
    <w:name w:val="批注文字 Char"/>
    <w:link w:val="14"/>
    <w:qFormat/>
    <w:uiPriority w:val="0"/>
    <w:rPr>
      <w:kern w:val="2"/>
      <w:sz w:val="28"/>
    </w:rPr>
  </w:style>
  <w:style w:type="character" w:customStyle="1" w:styleId="66">
    <w:name w:val="标题 9 Char"/>
    <w:link w:val="11"/>
    <w:qFormat/>
    <w:uiPriority w:val="0"/>
    <w:rPr>
      <w:rFonts w:ascii="Arial" w:hAnsi="Arial" w:eastAsia="黑体"/>
      <w:sz w:val="21"/>
    </w:rPr>
  </w:style>
  <w:style w:type="character" w:customStyle="1" w:styleId="67">
    <w:name w:val="纯文本 Char"/>
    <w:link w:val="19"/>
    <w:qFormat/>
    <w:uiPriority w:val="0"/>
    <w:rPr>
      <w:rFonts w:ascii="宋体" w:hAnsi="Courier New"/>
      <w:kern w:val="2"/>
      <w:sz w:val="21"/>
    </w:rPr>
  </w:style>
  <w:style w:type="character" w:customStyle="1" w:styleId="68">
    <w:name w:val="标题 8 Char"/>
    <w:link w:val="10"/>
    <w:qFormat/>
    <w:uiPriority w:val="0"/>
    <w:rPr>
      <w:rFonts w:ascii="Arial" w:hAnsi="Arial" w:eastAsia="黑体"/>
      <w:sz w:val="24"/>
    </w:rPr>
  </w:style>
  <w:style w:type="character" w:customStyle="1" w:styleId="69">
    <w:name w:val="正文文本 2 Char"/>
    <w:link w:val="26"/>
    <w:qFormat/>
    <w:uiPriority w:val="0"/>
    <w:rPr>
      <w:kern w:val="2"/>
      <w:sz w:val="21"/>
      <w:szCs w:val="24"/>
    </w:rPr>
  </w:style>
  <w:style w:type="character" w:customStyle="1" w:styleId="70">
    <w:name w:val="正文文本缩进 3 Char"/>
    <w:link w:val="25"/>
    <w:qFormat/>
    <w:uiPriority w:val="0"/>
    <w:rPr>
      <w:kern w:val="2"/>
      <w:sz w:val="16"/>
      <w:szCs w:val="16"/>
    </w:rPr>
  </w:style>
  <w:style w:type="character" w:customStyle="1" w:styleId="71">
    <w:name w:val="标题 7 Char"/>
    <w:link w:val="9"/>
    <w:qFormat/>
    <w:uiPriority w:val="0"/>
    <w:rPr>
      <w:rFonts w:ascii="宋体" w:hAnsi="Arial"/>
      <w:b/>
      <w:sz w:val="24"/>
    </w:rPr>
  </w:style>
  <w:style w:type="character" w:customStyle="1" w:styleId="72">
    <w:name w:val="tcss01"/>
    <w:basedOn w:val="34"/>
    <w:qFormat/>
    <w:uiPriority w:val="0"/>
  </w:style>
  <w:style w:type="character" w:customStyle="1" w:styleId="73">
    <w:name w:val="标题 5 Char"/>
    <w:link w:val="7"/>
    <w:qFormat/>
    <w:uiPriority w:val="0"/>
    <w:rPr>
      <w:rFonts w:ascii="宋体" w:hAnsi="Arial"/>
      <w:b/>
      <w:sz w:val="24"/>
    </w:rPr>
  </w:style>
  <w:style w:type="character" w:customStyle="1" w:styleId="74">
    <w:name w:val="标题 6 Char"/>
    <w:link w:val="8"/>
    <w:qFormat/>
    <w:uiPriority w:val="0"/>
    <w:rPr>
      <w:rFonts w:ascii="Arial" w:hAnsi="Arial" w:eastAsia="黑体"/>
      <w:b/>
      <w:sz w:val="24"/>
    </w:rPr>
  </w:style>
  <w:style w:type="character" w:customStyle="1" w:styleId="75">
    <w:name w:val="标题 3 Char"/>
    <w:link w:val="5"/>
    <w:qFormat/>
    <w:uiPriority w:val="0"/>
    <w:rPr>
      <w:rFonts w:ascii="宋体" w:hAnsi="Arial"/>
      <w:b/>
      <w:sz w:val="21"/>
    </w:rPr>
  </w:style>
  <w:style w:type="character" w:customStyle="1" w:styleId="76">
    <w:name w:val="ltitle1"/>
    <w:qFormat/>
    <w:uiPriority w:val="0"/>
    <w:rPr>
      <w:rFonts w:hint="default" w:ascii="Times New Roman" w:hAnsi="Times New Roman" w:cs="Times New Roman"/>
      <w:b/>
      <w:bCs/>
      <w:color w:val="009900"/>
      <w:sz w:val="24"/>
      <w:szCs w:val="24"/>
      <w:u w:val="none"/>
    </w:rPr>
  </w:style>
  <w:style w:type="character" w:customStyle="1" w:styleId="77">
    <w:name w:val="正文文本缩进 2 Char"/>
    <w:link w:val="21"/>
    <w:qFormat/>
    <w:uiPriority w:val="0"/>
    <w:rPr>
      <w:kern w:val="2"/>
      <w:sz w:val="21"/>
      <w:szCs w:val="24"/>
    </w:rPr>
  </w:style>
  <w:style w:type="character" w:customStyle="1" w:styleId="78">
    <w:name w:val="正文1 Char"/>
    <w:link w:val="55"/>
    <w:qFormat/>
    <w:uiPriority w:val="0"/>
    <w:rPr>
      <w:position w:val="-14"/>
      <w:sz w:val="24"/>
      <w:szCs w:val="24"/>
      <w:lang w:val="zh-CN"/>
    </w:rPr>
  </w:style>
  <w:style w:type="character" w:customStyle="1" w:styleId="79">
    <w:name w:val="正文文本 Char"/>
    <w:link w:val="15"/>
    <w:qFormat/>
    <w:uiPriority w:val="0"/>
    <w:rPr>
      <w:kern w:val="2"/>
      <w:sz w:val="21"/>
      <w:szCs w:val="24"/>
    </w:rPr>
  </w:style>
  <w:style w:type="paragraph" w:customStyle="1" w:styleId="80">
    <w:name w:val="纯文本1"/>
    <w:basedOn w:val="1"/>
    <w:qFormat/>
    <w:uiPriority w:val="0"/>
    <w:pPr>
      <w:adjustRightInd w:val="0"/>
      <w:jc w:val="left"/>
      <w:textAlignment w:val="baseline"/>
    </w:pPr>
    <w:rPr>
      <w:rFonts w:ascii="宋体" w:hAnsi="Courier New"/>
      <w:sz w:val="24"/>
      <w:szCs w:val="20"/>
    </w:rPr>
  </w:style>
  <w:style w:type="paragraph" w:customStyle="1" w:styleId="81">
    <w:name w:val="书"/>
    <w:basedOn w:val="1"/>
    <w:qFormat/>
    <w:uiPriority w:val="0"/>
    <w:pPr>
      <w:spacing w:line="520" w:lineRule="exact"/>
    </w:pPr>
    <w:rPr>
      <w:rFonts w:hint="eastAsia" w:ascii="楷体_GB2312" w:hAnsi="宋体" w:eastAsia="楷体_GB2312"/>
      <w:b/>
      <w:sz w:val="28"/>
    </w:rPr>
  </w:style>
  <w:style w:type="paragraph" w:customStyle="1" w:styleId="82">
    <w:name w:val="表头文字"/>
    <w:basedOn w:val="1"/>
    <w:qFormat/>
    <w:uiPriority w:val="0"/>
    <w:pPr>
      <w:widowControl/>
      <w:adjustRightInd w:val="0"/>
      <w:snapToGrid w:val="0"/>
      <w:spacing w:line="360" w:lineRule="exact"/>
      <w:ind w:firstLine="480" w:firstLineChars="200"/>
    </w:pPr>
    <w:rPr>
      <w:b/>
      <w:kern w:val="0"/>
      <w:sz w:val="24"/>
      <w:szCs w:val="20"/>
    </w:rPr>
  </w:style>
  <w:style w:type="paragraph" w:customStyle="1" w:styleId="83">
    <w:name w:val="表格文字"/>
    <w:basedOn w:val="1"/>
    <w:next w:val="1"/>
    <w:qFormat/>
    <w:uiPriority w:val="0"/>
    <w:pPr>
      <w:adjustRightInd w:val="0"/>
      <w:spacing w:line="400" w:lineRule="atLeast"/>
      <w:jc w:val="center"/>
    </w:pPr>
    <w:rPr>
      <w:kern w:val="24"/>
      <w:sz w:val="24"/>
    </w:rPr>
  </w:style>
  <w:style w:type="paragraph" w:customStyle="1" w:styleId="84">
    <w:name w:val="表格内容"/>
    <w:basedOn w:val="1"/>
    <w:qFormat/>
    <w:uiPriority w:val="0"/>
    <w:pPr>
      <w:jc w:val="center"/>
    </w:pPr>
    <w:rPr>
      <w:rFonts w:ascii="宋体"/>
      <w:szCs w:val="21"/>
    </w:rPr>
  </w:style>
  <w:style w:type="paragraph" w:customStyle="1" w:styleId="85">
    <w:name w:val="Table Paragraph"/>
    <w:basedOn w:val="1"/>
    <w:qFormat/>
    <w:uiPriority w:val="0"/>
    <w:pPr>
      <w:widowControl/>
      <w:jc w:val="left"/>
    </w:pPr>
    <w:rPr>
      <w:rFonts w:ascii="Calibri" w:hAnsi="Calibri" w:cs="Calibri"/>
      <w:kern w:val="0"/>
      <w:sz w:val="22"/>
      <w:szCs w:val="22"/>
    </w:rPr>
  </w:style>
  <w:style w:type="paragraph" w:customStyle="1" w:styleId="86">
    <w:name w:val="我的标题1"/>
    <w:basedOn w:val="4"/>
    <w:qFormat/>
    <w:uiPriority w:val="0"/>
    <w:pPr>
      <w:spacing w:before="240" w:after="120" w:line="800" w:lineRule="exact"/>
      <w:ind w:left="0"/>
      <w:jc w:val="both"/>
    </w:pPr>
    <w:rPr>
      <w:rFonts w:ascii="Times New Roman" w:hAnsi="Arial" w:eastAsia="黑体"/>
      <w:color w:val="000000"/>
      <w:kern w:val="2"/>
      <w:sz w:val="28"/>
      <w:szCs w:val="32"/>
      <w:lang w:val="en-US" w:eastAsia="zh-CN"/>
    </w:rPr>
  </w:style>
  <w:style w:type="character" w:customStyle="1" w:styleId="87">
    <w:name w:val="正文首行缩进 2 Char"/>
    <w:link w:val="31"/>
    <w:qFormat/>
    <w:uiPriority w:val="0"/>
    <w:rPr>
      <w:kern w:val="2"/>
      <w:sz w:val="21"/>
      <w:szCs w:val="24"/>
    </w:rPr>
  </w:style>
  <w:style w:type="paragraph" w:customStyle="1" w:styleId="88">
    <w:name w:val="Default"/>
    <w:unhideWhenUsed/>
    <w:qFormat/>
    <w:uiPriority w:val="99"/>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customStyle="1" w:styleId="89">
    <w:name w:val="正文 样式"/>
    <w:basedOn w:val="1"/>
    <w:next w:val="1"/>
    <w:qFormat/>
    <w:uiPriority w:val="0"/>
    <w:pPr>
      <w:spacing w:line="520" w:lineRule="exact"/>
      <w:ind w:firstLine="200" w:firstLineChars="200"/>
    </w:pPr>
    <w:rPr>
      <w:color w:val="000000"/>
      <w:kern w:val="0"/>
      <w:sz w:val="24"/>
    </w:rPr>
  </w:style>
  <w:style w:type="paragraph" w:customStyle="1" w:styleId="90">
    <w:name w:val="表格内容格式"/>
    <w:basedOn w:val="1"/>
    <w:qFormat/>
    <w:uiPriority w:val="0"/>
    <w:pPr>
      <w:keepNext w:val="0"/>
      <w:keepLines w:val="0"/>
      <w:widowControl w:val="0"/>
      <w:suppressLineNumbers w:val="0"/>
      <w:adjustRightInd w:val="0"/>
      <w:snapToGrid w:val="0"/>
      <w:spacing w:before="0" w:beforeAutospacing="0" w:after="0" w:afterAutospacing="0" w:line="240" w:lineRule="auto"/>
      <w:ind w:left="0" w:right="0"/>
      <w:jc w:val="center"/>
    </w:pPr>
    <w:rPr>
      <w:rFonts w:hint="default" w:ascii="Times New Roman" w:hAnsi="Times New Roman" w:eastAsia="Calibri" w:cs="Times New Roman"/>
      <w:kern w:val="2"/>
      <w:sz w:val="20"/>
      <w:szCs w:val="20"/>
      <w:lang w:val="en-US" w:eastAsia="zh-CN" w:bidi="ar"/>
    </w:rPr>
  </w:style>
  <w:style w:type="paragraph" w:customStyle="1" w:styleId="91">
    <w:name w:val="常用正文样式"/>
    <w:basedOn w:val="1"/>
    <w:qFormat/>
    <w:uiPriority w:val="0"/>
    <w:pPr>
      <w:spacing w:line="360" w:lineRule="auto"/>
      <w:ind w:firstLine="480" w:firstLineChars="200"/>
    </w:pPr>
    <w:rPr>
      <w:rFonts w:ascii="宋体" w:hAnsi="宋体" w:eastAsia="仿宋_GB2312" w:cs="宋体"/>
      <w:bCs/>
      <w:kern w:val="28"/>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31079</Words>
  <Characters>34941</Characters>
  <Lines>280</Lines>
  <Paragraphs>79</Paragraphs>
  <TotalTime>26</TotalTime>
  <ScaleCrop>false</ScaleCrop>
  <LinksUpToDate>false</LinksUpToDate>
  <CharactersWithSpaces>35598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2010-09-09T07:51:00Z</dcterms:created>
  <dc:creator>xingkj;HNFL-LKP</dc:creator>
  <dc:description>HNFLFB2017.7.10</dc:description>
  <cp:lastModifiedBy>Administrator</cp:lastModifiedBy>
  <cp:lastPrinted>2017-08-11T01:25:00Z</cp:lastPrinted>
  <dcterms:modified xsi:type="dcterms:W3CDTF">2021-03-03T09:26:48Z</dcterms:modified>
  <dc:title>建设项目环境影响报告表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